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DCF0A8F" w14:textId="0FA007F4" w:rsidR="00E9460C" w:rsidRPr="004B4F2D" w:rsidRDefault="5CE79437" w:rsidP="5CE79437">
      <w:pPr>
        <w:spacing w:line="480" w:lineRule="auto"/>
        <w:rPr>
          <w:rFonts w:asciiTheme="minorHAnsi" w:hAnsiTheme="minorHAnsi" w:cstheme="minorBidi"/>
          <w:b/>
          <w:bCs/>
          <w:i/>
          <w:iCs/>
          <w:sz w:val="22"/>
          <w:szCs w:val="22"/>
        </w:rPr>
      </w:pPr>
      <w:r w:rsidRPr="5CE79437">
        <w:rPr>
          <w:rFonts w:asciiTheme="minorHAnsi" w:hAnsiTheme="minorHAnsi" w:cstheme="minorBidi"/>
          <w:b/>
          <w:bCs/>
          <w:sz w:val="22"/>
          <w:szCs w:val="22"/>
        </w:rPr>
        <w:t xml:space="preserve">Prior infection of harlequin toads by </w:t>
      </w:r>
      <w:r w:rsidRPr="5CE79437">
        <w:rPr>
          <w:rFonts w:asciiTheme="minorHAnsi" w:hAnsiTheme="minorHAnsi" w:cstheme="minorBidi"/>
          <w:b/>
          <w:bCs/>
          <w:i/>
          <w:iCs/>
          <w:sz w:val="22"/>
          <w:szCs w:val="22"/>
        </w:rPr>
        <w:t xml:space="preserve">Batrachochytrium dendrobatidis </w:t>
      </w:r>
      <w:r w:rsidRPr="5CE79437">
        <w:rPr>
          <w:rFonts w:asciiTheme="minorHAnsi" w:hAnsiTheme="minorHAnsi" w:cstheme="minorBidi"/>
          <w:b/>
          <w:bCs/>
          <w:sz w:val="22"/>
          <w:szCs w:val="22"/>
        </w:rPr>
        <w:t>alters their immune-microbial state and increases mortality upon re-infection</w:t>
      </w:r>
    </w:p>
    <w:p w14:paraId="60BEFE0F" w14:textId="77777777" w:rsidR="00CC7DF8" w:rsidRDefault="00CC7DF8" w:rsidP="00E9460C">
      <w:pPr>
        <w:spacing w:line="480" w:lineRule="auto"/>
        <w:rPr>
          <w:rFonts w:asciiTheme="minorHAnsi" w:hAnsiTheme="minorHAnsi" w:cstheme="minorHAnsi"/>
          <w:b/>
          <w:bCs/>
          <w:sz w:val="22"/>
          <w:szCs w:val="22"/>
        </w:rPr>
      </w:pPr>
    </w:p>
    <w:p w14:paraId="3704909C" w14:textId="11A7784E" w:rsidR="00E9460C" w:rsidRPr="003D6F95" w:rsidRDefault="00E9460C" w:rsidP="00E9460C">
      <w:pPr>
        <w:spacing w:line="480" w:lineRule="auto"/>
        <w:rPr>
          <w:rFonts w:asciiTheme="minorHAnsi" w:hAnsiTheme="minorHAnsi" w:cstheme="minorHAnsi"/>
          <w:sz w:val="22"/>
          <w:szCs w:val="22"/>
        </w:rPr>
      </w:pPr>
      <w:r>
        <w:rPr>
          <w:rFonts w:asciiTheme="minorHAnsi" w:hAnsiTheme="minorHAnsi" w:cstheme="minorHAnsi"/>
          <w:b/>
          <w:bCs/>
          <w:sz w:val="22"/>
          <w:szCs w:val="22"/>
        </w:rPr>
        <w:t xml:space="preserve">Short title: </w:t>
      </w:r>
      <w:r w:rsidRPr="003D6F95">
        <w:rPr>
          <w:rFonts w:asciiTheme="minorHAnsi" w:hAnsiTheme="minorHAnsi" w:cstheme="minorHAnsi"/>
          <w:sz w:val="22"/>
          <w:szCs w:val="22"/>
        </w:rPr>
        <w:t xml:space="preserve">Interactions </w:t>
      </w:r>
      <w:r w:rsidR="004531A6">
        <w:rPr>
          <w:rFonts w:asciiTheme="minorHAnsi" w:hAnsiTheme="minorHAnsi" w:cstheme="minorHAnsi"/>
          <w:sz w:val="22"/>
          <w:szCs w:val="22"/>
        </w:rPr>
        <w:t>among</w:t>
      </w:r>
      <w:r w:rsidRPr="003D6F95">
        <w:rPr>
          <w:rFonts w:asciiTheme="minorHAnsi" w:hAnsiTheme="minorHAnsi" w:cstheme="minorHAnsi"/>
          <w:sz w:val="22"/>
          <w:szCs w:val="22"/>
        </w:rPr>
        <w:t xml:space="preserve"> pathogen</w:t>
      </w:r>
      <w:r w:rsidR="004531A6">
        <w:rPr>
          <w:rFonts w:asciiTheme="minorHAnsi" w:hAnsiTheme="minorHAnsi" w:cstheme="minorHAnsi"/>
          <w:sz w:val="22"/>
          <w:szCs w:val="22"/>
        </w:rPr>
        <w:t>,</w:t>
      </w:r>
      <w:r w:rsidRPr="003D6F95">
        <w:rPr>
          <w:rFonts w:asciiTheme="minorHAnsi" w:hAnsiTheme="minorHAnsi" w:cstheme="minorHAnsi"/>
          <w:sz w:val="22"/>
          <w:szCs w:val="22"/>
        </w:rPr>
        <w:t xml:space="preserve"> host immune system</w:t>
      </w:r>
      <w:r w:rsidR="004531A6">
        <w:rPr>
          <w:rFonts w:asciiTheme="minorHAnsi" w:hAnsiTheme="minorHAnsi" w:cstheme="minorHAnsi"/>
          <w:sz w:val="22"/>
          <w:szCs w:val="22"/>
        </w:rPr>
        <w:t xml:space="preserve"> and skin microbes</w:t>
      </w:r>
      <w:r w:rsidRPr="003D6F95">
        <w:rPr>
          <w:rFonts w:asciiTheme="minorHAnsi" w:hAnsiTheme="minorHAnsi" w:cstheme="minorHAnsi"/>
          <w:sz w:val="22"/>
          <w:szCs w:val="22"/>
        </w:rPr>
        <w:t xml:space="preserve">. </w:t>
      </w:r>
    </w:p>
    <w:p w14:paraId="6B07AFB4" w14:textId="77777777" w:rsidR="0028254D" w:rsidRPr="00D16989" w:rsidRDefault="0028254D" w:rsidP="00547AFA">
      <w:pPr>
        <w:spacing w:line="480" w:lineRule="auto"/>
        <w:rPr>
          <w:rFonts w:asciiTheme="minorHAnsi" w:hAnsiTheme="minorHAnsi" w:cstheme="minorHAnsi"/>
          <w:b/>
          <w:bCs/>
          <w:sz w:val="22"/>
          <w:szCs w:val="22"/>
        </w:rPr>
      </w:pPr>
    </w:p>
    <w:p w14:paraId="366BEB76" w14:textId="1559470E" w:rsidR="00DE7428" w:rsidRPr="00D16989" w:rsidRDefault="00BF25C1" w:rsidP="482BA739">
      <w:pPr>
        <w:pStyle w:val="LO-normal"/>
        <w:spacing w:line="480" w:lineRule="auto"/>
        <w:rPr>
          <w:rFonts w:asciiTheme="minorHAnsi" w:hAnsiTheme="minorHAnsi" w:cstheme="minorBidi"/>
          <w:color w:val="222222"/>
          <w:sz w:val="22"/>
          <w:szCs w:val="22"/>
          <w:shd w:val="clear" w:color="auto" w:fill="FFFFFF"/>
        </w:rPr>
      </w:pPr>
      <w:r w:rsidRPr="482BA739">
        <w:rPr>
          <w:rFonts w:asciiTheme="minorHAnsi" w:hAnsiTheme="minorHAnsi" w:cstheme="minorBidi"/>
          <w:sz w:val="22"/>
          <w:szCs w:val="22"/>
        </w:rPr>
        <w:t xml:space="preserve">Authors: </w:t>
      </w:r>
      <w:r w:rsidR="00900D9D" w:rsidRPr="482BA739">
        <w:rPr>
          <w:rFonts w:asciiTheme="minorHAnsi" w:hAnsiTheme="minorHAnsi" w:cstheme="minorBidi"/>
          <w:sz w:val="22"/>
          <w:szCs w:val="22"/>
        </w:rPr>
        <w:t>Brian Gratwick</w:t>
      </w:r>
      <w:r w:rsidR="00DE7428" w:rsidRPr="482BA739">
        <w:rPr>
          <w:rFonts w:asciiTheme="minorHAnsi" w:hAnsiTheme="minorHAnsi" w:cstheme="minorBidi"/>
          <w:sz w:val="22"/>
          <w:szCs w:val="22"/>
        </w:rPr>
        <w:t>e</w:t>
      </w:r>
      <w:r w:rsidR="00B4020F" w:rsidRPr="482BA739">
        <w:rPr>
          <w:rFonts w:asciiTheme="minorHAnsi" w:hAnsiTheme="minorHAnsi" w:cstheme="minorBidi"/>
          <w:sz w:val="22"/>
          <w:szCs w:val="22"/>
        </w:rPr>
        <w:t xml:space="preserve"> </w:t>
      </w:r>
      <w:r w:rsidR="00EF5B81" w:rsidRPr="00EF5B81">
        <w:rPr>
          <w:vertAlign w:val="superscript"/>
        </w:rPr>
        <w:t>¶</w:t>
      </w:r>
      <w:r w:rsidR="00EF5B81" w:rsidRPr="482BA739">
        <w:rPr>
          <w:rFonts w:asciiTheme="minorHAnsi" w:hAnsiTheme="minorHAnsi" w:cstheme="minorBidi"/>
          <w:sz w:val="22"/>
          <w:szCs w:val="22"/>
          <w:vertAlign w:val="superscript"/>
        </w:rPr>
        <w:t xml:space="preserve"> </w:t>
      </w:r>
      <w:r w:rsidR="00DE7428" w:rsidRPr="482BA739">
        <w:rPr>
          <w:rFonts w:asciiTheme="minorHAnsi" w:hAnsiTheme="minorHAnsi" w:cstheme="minorBidi"/>
          <w:sz w:val="22"/>
          <w:szCs w:val="22"/>
          <w:vertAlign w:val="superscript"/>
        </w:rPr>
        <w:t>1</w:t>
      </w:r>
      <w:r w:rsidR="00FC70F0" w:rsidRPr="482BA739">
        <w:rPr>
          <w:rFonts w:asciiTheme="minorHAnsi" w:hAnsiTheme="minorHAnsi" w:cstheme="minorBidi"/>
          <w:sz w:val="22"/>
          <w:szCs w:val="22"/>
        </w:rPr>
        <w:t>*</w:t>
      </w:r>
      <w:r w:rsidR="00900D9D" w:rsidRPr="482BA739">
        <w:rPr>
          <w:rFonts w:asciiTheme="minorHAnsi" w:hAnsiTheme="minorHAnsi" w:cstheme="minorBidi"/>
          <w:sz w:val="22"/>
          <w:szCs w:val="22"/>
        </w:rPr>
        <w:t xml:space="preserve">, </w:t>
      </w:r>
      <w:r w:rsidR="00C94C9C" w:rsidRPr="482BA739">
        <w:rPr>
          <w:rFonts w:asciiTheme="minorHAnsi" w:hAnsiTheme="minorHAnsi" w:cstheme="minorBidi"/>
          <w:color w:val="222222"/>
          <w:sz w:val="22"/>
          <w:szCs w:val="22"/>
          <w:shd w:val="clear" w:color="auto" w:fill="FFFFFF"/>
        </w:rPr>
        <w:t xml:space="preserve">Owen G. </w:t>
      </w:r>
      <w:proofErr w:type="gramStart"/>
      <w:r w:rsidR="00C94C9C" w:rsidRPr="482BA739">
        <w:rPr>
          <w:rFonts w:asciiTheme="minorHAnsi" w:hAnsiTheme="minorHAnsi" w:cstheme="minorBidi"/>
          <w:color w:val="222222"/>
          <w:sz w:val="22"/>
          <w:szCs w:val="22"/>
          <w:shd w:val="clear" w:color="auto" w:fill="FFFFFF"/>
        </w:rPr>
        <w:t>Osborn</w:t>
      </w:r>
      <w:r w:rsidR="004A1066" w:rsidRPr="482BA739">
        <w:rPr>
          <w:rFonts w:asciiTheme="minorHAnsi" w:hAnsiTheme="minorHAnsi" w:cstheme="minorBidi"/>
          <w:color w:val="222222"/>
          <w:sz w:val="22"/>
          <w:szCs w:val="22"/>
          <w:shd w:val="clear" w:color="auto" w:fill="FFFFFF"/>
        </w:rPr>
        <w:t>e</w:t>
      </w:r>
      <w:r w:rsidR="00B4020F" w:rsidRPr="482BA739">
        <w:rPr>
          <w:rFonts w:asciiTheme="minorHAnsi" w:hAnsiTheme="minorHAnsi" w:cstheme="minorBidi"/>
          <w:color w:val="222222"/>
          <w:sz w:val="22"/>
          <w:szCs w:val="22"/>
          <w:shd w:val="clear" w:color="auto" w:fill="FFFFFF"/>
        </w:rPr>
        <w:t xml:space="preserve"> </w:t>
      </w:r>
      <w:r w:rsidR="00EF5B81" w:rsidRPr="00EF5B81">
        <w:rPr>
          <w:vertAlign w:val="superscript"/>
        </w:rPr>
        <w:t xml:space="preserve"> ¶</w:t>
      </w:r>
      <w:proofErr w:type="gramEnd"/>
      <w:r w:rsidR="00EF5B81" w:rsidRPr="482BA739">
        <w:rPr>
          <w:rFonts w:asciiTheme="minorHAnsi" w:hAnsiTheme="minorHAnsi" w:cstheme="minorBidi"/>
          <w:color w:val="222222"/>
          <w:sz w:val="22"/>
          <w:szCs w:val="22"/>
          <w:shd w:val="clear" w:color="auto" w:fill="FFFFFF"/>
          <w:vertAlign w:val="superscript"/>
        </w:rPr>
        <w:t xml:space="preserve"> </w:t>
      </w:r>
      <w:r w:rsidR="00C94C9C" w:rsidRPr="482BA739">
        <w:rPr>
          <w:rFonts w:asciiTheme="minorHAnsi" w:hAnsiTheme="minorHAnsi" w:cstheme="minorBidi"/>
          <w:color w:val="222222"/>
          <w:sz w:val="22"/>
          <w:szCs w:val="22"/>
          <w:shd w:val="clear" w:color="auto" w:fill="FFFFFF"/>
          <w:vertAlign w:val="superscript"/>
        </w:rPr>
        <w:t>2</w:t>
      </w:r>
      <w:r w:rsidR="00C94C9C" w:rsidRPr="482BA739">
        <w:rPr>
          <w:rFonts w:asciiTheme="minorHAnsi" w:hAnsiTheme="minorHAnsi" w:cstheme="minorBidi"/>
          <w:color w:val="222222"/>
          <w:sz w:val="22"/>
          <w:szCs w:val="22"/>
          <w:shd w:val="clear" w:color="auto" w:fill="FFFFFF"/>
        </w:rPr>
        <w:t xml:space="preserve">, </w:t>
      </w:r>
      <w:r w:rsidR="00E35B4E" w:rsidRPr="482BA739">
        <w:rPr>
          <w:rFonts w:asciiTheme="minorHAnsi" w:hAnsiTheme="minorHAnsi" w:cstheme="minorBidi"/>
          <w:color w:val="222222"/>
          <w:sz w:val="22"/>
          <w:szCs w:val="22"/>
          <w:shd w:val="clear" w:color="auto" w:fill="FFFFFF"/>
        </w:rPr>
        <w:t>Arik Hartma</w:t>
      </w:r>
      <w:r w:rsidR="00DE7428" w:rsidRPr="482BA739">
        <w:rPr>
          <w:rFonts w:asciiTheme="minorHAnsi" w:hAnsiTheme="minorHAnsi" w:cstheme="minorBidi"/>
          <w:color w:val="222222"/>
          <w:sz w:val="22"/>
          <w:szCs w:val="22"/>
          <w:shd w:val="clear" w:color="auto" w:fill="FFFFFF"/>
        </w:rPr>
        <w:t>nn</w:t>
      </w:r>
      <w:r w:rsidR="00DE7428" w:rsidRPr="482BA739">
        <w:rPr>
          <w:rFonts w:asciiTheme="minorHAnsi" w:hAnsiTheme="minorHAnsi" w:cstheme="minorBidi"/>
          <w:color w:val="222222"/>
          <w:sz w:val="22"/>
          <w:szCs w:val="22"/>
          <w:shd w:val="clear" w:color="auto" w:fill="FFFFFF"/>
          <w:vertAlign w:val="superscript"/>
        </w:rPr>
        <w:t>1</w:t>
      </w:r>
      <w:r w:rsidR="00E35B4E" w:rsidRPr="482BA739">
        <w:rPr>
          <w:rFonts w:asciiTheme="minorHAnsi" w:hAnsiTheme="minorHAnsi" w:cstheme="minorBidi"/>
          <w:color w:val="222222"/>
          <w:sz w:val="22"/>
          <w:szCs w:val="22"/>
          <w:shd w:val="clear" w:color="auto" w:fill="FFFFFF"/>
        </w:rPr>
        <w:t>, Nicolette Ávil</w:t>
      </w:r>
      <w:r w:rsidR="00DE7428" w:rsidRPr="482BA739">
        <w:rPr>
          <w:rFonts w:asciiTheme="minorHAnsi" w:hAnsiTheme="minorHAnsi" w:cstheme="minorBidi"/>
          <w:color w:val="222222"/>
          <w:sz w:val="22"/>
          <w:szCs w:val="22"/>
          <w:shd w:val="clear" w:color="auto" w:fill="FFFFFF"/>
        </w:rPr>
        <w:t>a</w:t>
      </w:r>
      <w:r w:rsidR="00DE7428" w:rsidRPr="482BA739">
        <w:rPr>
          <w:rFonts w:asciiTheme="minorHAnsi" w:hAnsiTheme="minorHAnsi" w:cstheme="minorBidi"/>
          <w:color w:val="222222"/>
          <w:sz w:val="22"/>
          <w:szCs w:val="22"/>
          <w:shd w:val="clear" w:color="auto" w:fill="FFFFFF"/>
          <w:vertAlign w:val="superscript"/>
        </w:rPr>
        <w:t>3</w:t>
      </w:r>
      <w:r w:rsidR="00E35B4E" w:rsidRPr="482BA739">
        <w:rPr>
          <w:rFonts w:asciiTheme="minorHAnsi" w:hAnsiTheme="minorHAnsi" w:cstheme="minorBidi"/>
          <w:color w:val="222222"/>
          <w:sz w:val="22"/>
          <w:szCs w:val="22"/>
          <w:shd w:val="clear" w:color="auto" w:fill="FFFFFF"/>
        </w:rPr>
        <w:t xml:space="preserve">, </w:t>
      </w:r>
      <w:r w:rsidR="00E35B4E" w:rsidRPr="482BA739">
        <w:rPr>
          <w:rFonts w:asciiTheme="minorHAnsi" w:hAnsiTheme="minorHAnsi" w:cstheme="minorBidi"/>
          <w:sz w:val="22"/>
          <w:szCs w:val="22"/>
        </w:rPr>
        <w:t>Eric Baitchman</w:t>
      </w:r>
      <w:r w:rsidR="00DE7428" w:rsidRPr="482BA739">
        <w:rPr>
          <w:rFonts w:asciiTheme="minorHAnsi" w:hAnsiTheme="minorHAnsi" w:cstheme="minorBidi"/>
          <w:sz w:val="22"/>
          <w:szCs w:val="22"/>
          <w:vertAlign w:val="superscript"/>
        </w:rPr>
        <w:t>4</w:t>
      </w:r>
      <w:r w:rsidR="00924075" w:rsidRPr="482BA739">
        <w:rPr>
          <w:rFonts w:asciiTheme="minorHAnsi" w:hAnsiTheme="minorHAnsi" w:cstheme="minorBidi"/>
          <w:sz w:val="22"/>
          <w:szCs w:val="22"/>
        </w:rPr>
        <w:t>,</w:t>
      </w:r>
      <w:r w:rsidR="00E35B4E" w:rsidRPr="482BA739">
        <w:rPr>
          <w:rFonts w:asciiTheme="minorHAnsi" w:hAnsiTheme="minorHAnsi" w:cstheme="minorBidi"/>
          <w:color w:val="222222"/>
          <w:sz w:val="22"/>
          <w:szCs w:val="22"/>
          <w:shd w:val="clear" w:color="auto" w:fill="FFFFFF"/>
        </w:rPr>
        <w:t xml:space="preserve"> Gina Della</w:t>
      </w:r>
      <w:r w:rsidR="008A5698">
        <w:rPr>
          <w:rFonts w:asciiTheme="minorHAnsi" w:hAnsiTheme="minorHAnsi" w:cstheme="minorBidi"/>
          <w:color w:val="222222"/>
          <w:sz w:val="22"/>
          <w:szCs w:val="22"/>
          <w:shd w:val="clear" w:color="auto" w:fill="FFFFFF"/>
        </w:rPr>
        <w:t xml:space="preserve"> </w:t>
      </w:r>
      <w:r w:rsidR="00E35B4E" w:rsidRPr="482BA739">
        <w:rPr>
          <w:rFonts w:asciiTheme="minorHAnsi" w:hAnsiTheme="minorHAnsi" w:cstheme="minorBidi"/>
          <w:color w:val="222222"/>
          <w:sz w:val="22"/>
          <w:szCs w:val="22"/>
          <w:shd w:val="clear" w:color="auto" w:fill="FFFFFF"/>
        </w:rPr>
        <w:t>Togna</w:t>
      </w:r>
      <w:r w:rsidR="00924075" w:rsidRPr="482BA739">
        <w:rPr>
          <w:rFonts w:asciiTheme="minorHAnsi" w:hAnsiTheme="minorHAnsi" w:cstheme="minorBidi"/>
          <w:color w:val="222222"/>
          <w:sz w:val="22"/>
          <w:szCs w:val="22"/>
          <w:shd w:val="clear" w:color="auto" w:fill="FFFFFF"/>
          <w:vertAlign w:val="superscript"/>
        </w:rPr>
        <w:t>3,</w:t>
      </w:r>
      <w:r w:rsidR="00DE7428" w:rsidRPr="482BA739">
        <w:rPr>
          <w:rFonts w:asciiTheme="minorHAnsi" w:hAnsiTheme="minorHAnsi" w:cstheme="minorBidi"/>
          <w:color w:val="222222"/>
          <w:sz w:val="22"/>
          <w:szCs w:val="22"/>
          <w:shd w:val="clear" w:color="auto" w:fill="FFFFFF"/>
          <w:vertAlign w:val="superscript"/>
        </w:rPr>
        <w:t>5</w:t>
      </w:r>
      <w:r w:rsidR="00E35B4E" w:rsidRPr="482BA739">
        <w:rPr>
          <w:rFonts w:asciiTheme="minorHAnsi" w:hAnsiTheme="minorHAnsi" w:cstheme="minorBidi"/>
          <w:color w:val="222222"/>
          <w:sz w:val="22"/>
          <w:szCs w:val="22"/>
          <w:shd w:val="clear" w:color="auto" w:fill="FFFFFF"/>
        </w:rPr>
        <w:t xml:space="preserve">, </w:t>
      </w:r>
      <w:proofErr w:type="spellStart"/>
      <w:r w:rsidR="00E35B4E" w:rsidRPr="482BA739">
        <w:rPr>
          <w:rFonts w:asciiTheme="minorHAnsi" w:hAnsiTheme="minorHAnsi" w:cstheme="minorBidi"/>
          <w:color w:val="222222"/>
          <w:sz w:val="22"/>
          <w:szCs w:val="22"/>
          <w:shd w:val="clear" w:color="auto" w:fill="FFFFFF"/>
        </w:rPr>
        <w:t>Yimairi</w:t>
      </w:r>
      <w:proofErr w:type="spellEnd"/>
      <w:r w:rsidR="00E35B4E" w:rsidRPr="482BA739">
        <w:rPr>
          <w:rFonts w:asciiTheme="minorHAnsi" w:hAnsiTheme="minorHAnsi" w:cstheme="minorBidi"/>
          <w:color w:val="222222"/>
          <w:sz w:val="22"/>
          <w:szCs w:val="22"/>
          <w:shd w:val="clear" w:color="auto" w:fill="FFFFFF"/>
        </w:rPr>
        <w:t xml:space="preserve"> Figueroa</w:t>
      </w:r>
      <w:r w:rsidR="00924075" w:rsidRPr="482BA739">
        <w:rPr>
          <w:rFonts w:asciiTheme="minorHAnsi" w:hAnsiTheme="minorHAnsi" w:cstheme="minorBidi"/>
          <w:color w:val="222222"/>
          <w:sz w:val="22"/>
          <w:szCs w:val="22"/>
          <w:shd w:val="clear" w:color="auto" w:fill="FFFFFF"/>
          <w:vertAlign w:val="superscript"/>
        </w:rPr>
        <w:t>3</w:t>
      </w:r>
      <w:r w:rsidR="00E35B4E" w:rsidRPr="482BA739">
        <w:rPr>
          <w:rFonts w:asciiTheme="minorHAnsi" w:hAnsiTheme="minorHAnsi" w:cstheme="minorBidi"/>
          <w:color w:val="222222"/>
          <w:sz w:val="22"/>
          <w:szCs w:val="22"/>
          <w:shd w:val="clear" w:color="auto" w:fill="FFFFFF"/>
        </w:rPr>
        <w:t>,</w:t>
      </w:r>
      <w:r w:rsidR="00E35B4E" w:rsidRPr="482BA739">
        <w:rPr>
          <w:rFonts w:asciiTheme="minorHAnsi" w:hAnsiTheme="minorHAnsi" w:cstheme="minorBidi"/>
          <w:sz w:val="22"/>
          <w:szCs w:val="22"/>
        </w:rPr>
        <w:t xml:space="preserve"> </w:t>
      </w:r>
      <w:r w:rsidR="00E35B4E" w:rsidRPr="482BA739">
        <w:rPr>
          <w:rFonts w:asciiTheme="minorHAnsi" w:hAnsiTheme="minorHAnsi" w:cstheme="minorBidi"/>
          <w:color w:val="222222"/>
          <w:sz w:val="22"/>
          <w:szCs w:val="22"/>
          <w:shd w:val="clear" w:color="auto" w:fill="FFFFFF"/>
        </w:rPr>
        <w:t>Jorge Guerrel</w:t>
      </w:r>
      <w:r w:rsidR="00924075" w:rsidRPr="482BA739">
        <w:rPr>
          <w:rFonts w:asciiTheme="minorHAnsi" w:hAnsiTheme="minorHAnsi" w:cstheme="minorBidi"/>
          <w:color w:val="222222"/>
          <w:sz w:val="22"/>
          <w:szCs w:val="22"/>
          <w:shd w:val="clear" w:color="auto" w:fill="FFFFFF"/>
          <w:vertAlign w:val="superscript"/>
        </w:rPr>
        <w:t>3</w:t>
      </w:r>
      <w:r w:rsidR="00E35B4E" w:rsidRPr="482BA739">
        <w:rPr>
          <w:rFonts w:asciiTheme="minorHAnsi" w:hAnsiTheme="minorHAnsi" w:cstheme="minorBidi"/>
          <w:color w:val="222222"/>
          <w:sz w:val="22"/>
          <w:szCs w:val="22"/>
          <w:shd w:val="clear" w:color="auto" w:fill="FFFFFF"/>
        </w:rPr>
        <w:t xml:space="preserve">, </w:t>
      </w:r>
      <w:r w:rsidR="00900D9D" w:rsidRPr="482BA739">
        <w:rPr>
          <w:rFonts w:asciiTheme="minorHAnsi" w:hAnsiTheme="minorHAnsi" w:cstheme="minorBidi"/>
          <w:color w:val="222222"/>
          <w:sz w:val="22"/>
          <w:szCs w:val="22"/>
          <w:shd w:val="clear" w:color="auto" w:fill="FFFFFF"/>
        </w:rPr>
        <w:t>Estefany Illueca</w:t>
      </w:r>
      <w:r w:rsidR="00924075" w:rsidRPr="482BA739">
        <w:rPr>
          <w:rFonts w:asciiTheme="minorHAnsi" w:hAnsiTheme="minorHAnsi" w:cstheme="minorBidi"/>
          <w:color w:val="222222"/>
          <w:sz w:val="22"/>
          <w:szCs w:val="22"/>
          <w:shd w:val="clear" w:color="auto" w:fill="FFFFFF"/>
          <w:vertAlign w:val="superscript"/>
        </w:rPr>
        <w:t>3</w:t>
      </w:r>
      <w:r w:rsidR="00900D9D" w:rsidRPr="482BA739">
        <w:rPr>
          <w:rFonts w:asciiTheme="minorHAnsi" w:hAnsiTheme="minorHAnsi" w:cstheme="minorBidi"/>
          <w:color w:val="222222"/>
          <w:sz w:val="22"/>
          <w:szCs w:val="22"/>
          <w:shd w:val="clear" w:color="auto" w:fill="FFFFFF"/>
        </w:rPr>
        <w:t xml:space="preserve">, </w:t>
      </w:r>
      <w:r w:rsidR="00E35B4E" w:rsidRPr="482BA739">
        <w:rPr>
          <w:rFonts w:asciiTheme="minorHAnsi" w:hAnsiTheme="minorHAnsi" w:cstheme="minorBidi"/>
          <w:sz w:val="22"/>
          <w:szCs w:val="22"/>
        </w:rPr>
        <w:t>Luke Linhoff</w:t>
      </w:r>
      <w:r w:rsidR="00C32DC4" w:rsidRPr="482BA739">
        <w:rPr>
          <w:rFonts w:asciiTheme="minorHAnsi" w:hAnsiTheme="minorHAnsi" w:cstheme="minorBidi"/>
          <w:color w:val="222222"/>
          <w:sz w:val="22"/>
          <w:szCs w:val="22"/>
          <w:shd w:val="clear" w:color="auto" w:fill="FFFFFF"/>
          <w:vertAlign w:val="superscript"/>
        </w:rPr>
        <w:t>1</w:t>
      </w:r>
      <w:r w:rsidR="00E35B4E" w:rsidRPr="482BA739">
        <w:rPr>
          <w:rFonts w:asciiTheme="minorHAnsi" w:hAnsiTheme="minorHAnsi" w:cstheme="minorBidi"/>
          <w:sz w:val="22"/>
          <w:szCs w:val="22"/>
        </w:rPr>
        <w:t xml:space="preserve">, </w:t>
      </w:r>
      <w:r w:rsidR="00900D9D" w:rsidRPr="482BA739">
        <w:rPr>
          <w:rFonts w:asciiTheme="minorHAnsi" w:hAnsiTheme="minorHAnsi" w:cstheme="minorBidi"/>
          <w:color w:val="222222"/>
          <w:sz w:val="22"/>
          <w:szCs w:val="22"/>
          <w:shd w:val="clear" w:color="auto" w:fill="FFFFFF"/>
        </w:rPr>
        <w:t>Jo</w:t>
      </w:r>
      <w:r w:rsidR="00F24D0B" w:rsidRPr="482BA739">
        <w:rPr>
          <w:rFonts w:asciiTheme="minorHAnsi" w:hAnsiTheme="minorHAnsi" w:cstheme="minorBidi"/>
          <w:color w:val="222222"/>
          <w:sz w:val="22"/>
          <w:szCs w:val="22"/>
          <w:shd w:val="clear" w:color="auto" w:fill="FFFFFF"/>
        </w:rPr>
        <w:t>s</w:t>
      </w:r>
      <w:r w:rsidR="00900D9D" w:rsidRPr="482BA739">
        <w:rPr>
          <w:rFonts w:asciiTheme="minorHAnsi" w:hAnsiTheme="minorHAnsi" w:cstheme="minorBidi"/>
          <w:color w:val="222222"/>
          <w:sz w:val="22"/>
          <w:szCs w:val="22"/>
          <w:shd w:val="clear" w:color="auto" w:fill="FFFFFF"/>
        </w:rPr>
        <w:t>e</w:t>
      </w:r>
      <w:r w:rsidR="00F24D0B" w:rsidRPr="482BA739">
        <w:rPr>
          <w:rFonts w:asciiTheme="minorHAnsi" w:hAnsiTheme="minorHAnsi" w:cstheme="minorBidi"/>
          <w:color w:val="222222"/>
          <w:sz w:val="22"/>
          <w:szCs w:val="22"/>
          <w:shd w:val="clear" w:color="auto" w:fill="FFFFFF"/>
        </w:rPr>
        <w:t>ph</w:t>
      </w:r>
      <w:r w:rsidR="00900D9D" w:rsidRPr="482BA739">
        <w:rPr>
          <w:rFonts w:asciiTheme="minorHAnsi" w:hAnsiTheme="minorHAnsi" w:cstheme="minorBidi"/>
          <w:color w:val="222222"/>
          <w:sz w:val="22"/>
          <w:szCs w:val="22"/>
          <w:shd w:val="clear" w:color="auto" w:fill="FFFFFF"/>
        </w:rPr>
        <w:t xml:space="preserve"> D. Madison</w:t>
      </w:r>
      <w:r w:rsidR="00C32DC4" w:rsidRPr="482BA739">
        <w:rPr>
          <w:rFonts w:asciiTheme="minorHAnsi" w:hAnsiTheme="minorHAnsi" w:cstheme="minorBidi"/>
          <w:color w:val="222222"/>
          <w:sz w:val="22"/>
          <w:szCs w:val="22"/>
          <w:shd w:val="clear" w:color="auto" w:fill="FFFFFF"/>
          <w:vertAlign w:val="superscript"/>
        </w:rPr>
        <w:t>1</w:t>
      </w:r>
      <w:r w:rsidR="00F24D0B" w:rsidRPr="482BA739">
        <w:rPr>
          <w:rFonts w:asciiTheme="minorHAnsi" w:hAnsiTheme="minorHAnsi" w:cstheme="minorBidi"/>
          <w:color w:val="222222"/>
          <w:sz w:val="22"/>
          <w:szCs w:val="22"/>
          <w:shd w:val="clear" w:color="auto" w:fill="FFFFFF"/>
          <w:vertAlign w:val="superscript"/>
        </w:rPr>
        <w:t>,3</w:t>
      </w:r>
      <w:r w:rsidR="00EE44E0" w:rsidRPr="482BA739">
        <w:rPr>
          <w:rFonts w:asciiTheme="minorHAnsi" w:hAnsiTheme="minorHAnsi" w:cstheme="minorBidi"/>
          <w:color w:val="222222"/>
          <w:sz w:val="22"/>
          <w:szCs w:val="22"/>
          <w:shd w:val="clear" w:color="auto" w:fill="FFFFFF"/>
        </w:rPr>
        <w:t>, Amy Ellison</w:t>
      </w:r>
      <w:r w:rsidR="00EE44E0" w:rsidRPr="482BA739">
        <w:rPr>
          <w:rFonts w:asciiTheme="minorHAnsi" w:hAnsiTheme="minorHAnsi" w:cstheme="minorBidi"/>
          <w:color w:val="222222"/>
          <w:sz w:val="22"/>
          <w:szCs w:val="22"/>
          <w:shd w:val="clear" w:color="auto" w:fill="FFFFFF"/>
          <w:vertAlign w:val="superscript"/>
        </w:rPr>
        <w:t>2</w:t>
      </w:r>
      <w:r w:rsidR="00EE44E0" w:rsidRPr="482BA739">
        <w:rPr>
          <w:rFonts w:asciiTheme="minorHAnsi" w:hAnsiTheme="minorHAnsi" w:cstheme="minorBidi"/>
          <w:color w:val="222222"/>
          <w:sz w:val="22"/>
          <w:szCs w:val="22"/>
          <w:shd w:val="clear" w:color="auto" w:fill="FFFFFF"/>
        </w:rPr>
        <w:t>, Leon Grayfer</w:t>
      </w:r>
      <w:r w:rsidR="00EE44E0" w:rsidRPr="482BA739">
        <w:rPr>
          <w:rFonts w:asciiTheme="minorHAnsi" w:hAnsiTheme="minorHAnsi" w:cstheme="minorBidi"/>
          <w:color w:val="222222"/>
          <w:sz w:val="22"/>
          <w:szCs w:val="22"/>
          <w:shd w:val="clear" w:color="auto" w:fill="FFFFFF"/>
          <w:vertAlign w:val="superscript"/>
        </w:rPr>
        <w:t>6</w:t>
      </w:r>
      <w:r w:rsidR="00900D9D" w:rsidRPr="482BA739">
        <w:rPr>
          <w:rFonts w:asciiTheme="minorHAnsi" w:hAnsiTheme="minorHAnsi" w:cstheme="minorBidi"/>
          <w:color w:val="222222"/>
          <w:sz w:val="22"/>
          <w:szCs w:val="22"/>
          <w:shd w:val="clear" w:color="auto" w:fill="FFFFFF"/>
        </w:rPr>
        <w:t xml:space="preserve">, </w:t>
      </w:r>
      <w:r w:rsidR="00E35B4E" w:rsidRPr="482BA739">
        <w:rPr>
          <w:rFonts w:asciiTheme="minorHAnsi" w:hAnsiTheme="minorHAnsi" w:cstheme="minorBidi"/>
          <w:sz w:val="22"/>
          <w:szCs w:val="22"/>
        </w:rPr>
        <w:t xml:space="preserve">Roberto </w:t>
      </w:r>
      <w:r w:rsidR="00E35B4E" w:rsidRPr="482BA739">
        <w:rPr>
          <w:rFonts w:asciiTheme="minorHAnsi" w:hAnsiTheme="minorHAnsi" w:cstheme="minorBidi"/>
          <w:color w:val="222222"/>
          <w:sz w:val="22"/>
          <w:szCs w:val="22"/>
          <w:shd w:val="clear" w:color="auto" w:fill="FFFFFF"/>
        </w:rPr>
        <w:t>Ibáñez</w:t>
      </w:r>
      <w:r w:rsidR="00924075" w:rsidRPr="482BA739">
        <w:rPr>
          <w:rFonts w:asciiTheme="minorHAnsi" w:hAnsiTheme="minorHAnsi" w:cstheme="minorBidi"/>
          <w:color w:val="222222"/>
          <w:sz w:val="22"/>
          <w:szCs w:val="22"/>
          <w:shd w:val="clear" w:color="auto" w:fill="FFFFFF"/>
          <w:vertAlign w:val="superscript"/>
        </w:rPr>
        <w:t>3</w:t>
      </w:r>
      <w:r w:rsidR="00E35B4E" w:rsidRPr="482BA739">
        <w:rPr>
          <w:rFonts w:asciiTheme="minorHAnsi" w:hAnsiTheme="minorHAnsi" w:cstheme="minorBidi"/>
          <w:sz w:val="22"/>
          <w:szCs w:val="22"/>
        </w:rPr>
        <w:t xml:space="preserve">, </w:t>
      </w:r>
      <w:r w:rsidR="00900D9D" w:rsidRPr="482BA739">
        <w:rPr>
          <w:rFonts w:asciiTheme="minorHAnsi" w:hAnsiTheme="minorHAnsi" w:cstheme="minorBidi"/>
          <w:color w:val="222222"/>
          <w:sz w:val="22"/>
          <w:szCs w:val="22"/>
          <w:shd w:val="clear" w:color="auto" w:fill="FFFFFF"/>
        </w:rPr>
        <w:t>Carly</w:t>
      </w:r>
      <w:r w:rsidR="00D555B8" w:rsidRPr="482BA739">
        <w:rPr>
          <w:rFonts w:asciiTheme="minorHAnsi" w:hAnsiTheme="minorHAnsi" w:cstheme="minorBidi"/>
          <w:color w:val="222222"/>
          <w:sz w:val="22"/>
          <w:szCs w:val="22"/>
          <w:shd w:val="clear" w:color="auto" w:fill="FFFFFF"/>
        </w:rPr>
        <w:t xml:space="preserve"> R.</w:t>
      </w:r>
      <w:r w:rsidR="00900D9D" w:rsidRPr="482BA739">
        <w:rPr>
          <w:rFonts w:asciiTheme="minorHAnsi" w:hAnsiTheme="minorHAnsi" w:cstheme="minorBidi"/>
          <w:color w:val="222222"/>
          <w:sz w:val="22"/>
          <w:szCs w:val="22"/>
          <w:shd w:val="clear" w:color="auto" w:fill="FFFFFF"/>
        </w:rPr>
        <w:t xml:space="preserve"> Muletz-Wolz</w:t>
      </w:r>
      <w:r w:rsidR="00C32DC4" w:rsidRPr="482BA739">
        <w:rPr>
          <w:rFonts w:asciiTheme="minorHAnsi" w:hAnsiTheme="minorHAnsi" w:cstheme="minorBidi"/>
          <w:color w:val="222222"/>
          <w:sz w:val="22"/>
          <w:szCs w:val="22"/>
          <w:shd w:val="clear" w:color="auto" w:fill="FFFFFF"/>
          <w:vertAlign w:val="superscript"/>
        </w:rPr>
        <w:t>1,7</w:t>
      </w:r>
    </w:p>
    <w:p w14:paraId="0A85E6BA" w14:textId="77777777" w:rsidR="00BF25C1" w:rsidRDefault="00BF25C1" w:rsidP="00547AFA">
      <w:pPr>
        <w:pStyle w:val="LO-normal"/>
        <w:spacing w:line="480" w:lineRule="auto"/>
        <w:rPr>
          <w:rFonts w:asciiTheme="minorHAnsi" w:hAnsiTheme="minorHAnsi" w:cstheme="minorHAnsi"/>
          <w:sz w:val="22"/>
          <w:szCs w:val="22"/>
        </w:rPr>
      </w:pPr>
    </w:p>
    <w:p w14:paraId="4E198DC0" w14:textId="163B8834" w:rsidR="00DE7428" w:rsidRPr="00D16989" w:rsidRDefault="2B73D757" w:rsidP="2B73D757">
      <w:pPr>
        <w:pStyle w:val="LO-normal"/>
        <w:spacing w:line="480" w:lineRule="auto"/>
        <w:rPr>
          <w:rFonts w:asciiTheme="minorHAnsi" w:hAnsiTheme="minorHAnsi" w:cstheme="minorBidi"/>
          <w:sz w:val="22"/>
          <w:szCs w:val="22"/>
        </w:rPr>
      </w:pPr>
      <w:r w:rsidRPr="2B73D757">
        <w:rPr>
          <w:rFonts w:asciiTheme="minorHAnsi" w:hAnsiTheme="minorHAnsi" w:cstheme="minorBidi"/>
          <w:sz w:val="22"/>
          <w:szCs w:val="22"/>
        </w:rPr>
        <w:t>Affiliations:</w:t>
      </w:r>
      <w:r w:rsidR="00BF25C1">
        <w:br/>
      </w:r>
      <w:r w:rsidRPr="2B73D757">
        <w:rPr>
          <w:rFonts w:asciiTheme="minorHAnsi" w:eastAsia="Times New Roman" w:hAnsiTheme="minorHAnsi" w:cstheme="minorBidi"/>
          <w:sz w:val="22"/>
          <w:szCs w:val="22"/>
          <w:vertAlign w:val="superscript"/>
        </w:rPr>
        <w:t xml:space="preserve">1 </w:t>
      </w:r>
      <w:r w:rsidRPr="2B73D757">
        <w:rPr>
          <w:rFonts w:asciiTheme="minorHAnsi" w:eastAsia="Times New Roman" w:hAnsiTheme="minorHAnsi" w:cstheme="minorBidi"/>
          <w:sz w:val="22"/>
          <w:szCs w:val="22"/>
        </w:rPr>
        <w:t>Smithsonian’s National Zoo and Conservation Biology Institute, Washington DC, USA</w:t>
      </w:r>
    </w:p>
    <w:p w14:paraId="455FDCA3" w14:textId="7D365287" w:rsidR="00DE7428" w:rsidRPr="00D16989" w:rsidRDefault="00DE7428" w:rsidP="00547AFA">
      <w:pPr>
        <w:pStyle w:val="FootnoteText"/>
        <w:spacing w:line="480" w:lineRule="auto"/>
        <w:rPr>
          <w:rFonts w:cstheme="minorHAnsi"/>
          <w:sz w:val="22"/>
          <w:szCs w:val="22"/>
        </w:rPr>
      </w:pPr>
      <w:r w:rsidRPr="00D16989">
        <w:rPr>
          <w:rFonts w:cstheme="minorHAnsi"/>
          <w:sz w:val="22"/>
          <w:szCs w:val="22"/>
          <w:vertAlign w:val="superscript"/>
        </w:rPr>
        <w:t>2</w:t>
      </w:r>
      <w:r w:rsidRPr="00D16989">
        <w:rPr>
          <w:rFonts w:cstheme="minorHAnsi"/>
          <w:sz w:val="22"/>
          <w:szCs w:val="22"/>
        </w:rPr>
        <w:t xml:space="preserve"> </w:t>
      </w:r>
      <w:r w:rsidR="00857422" w:rsidRPr="00D16989">
        <w:rPr>
          <w:rFonts w:cstheme="minorHAnsi"/>
          <w:sz w:val="22"/>
          <w:szCs w:val="22"/>
        </w:rPr>
        <w:t>School of Environmental and Natural Sciences, Bangor University, Bangor, Gwynedd, UK</w:t>
      </w:r>
    </w:p>
    <w:p w14:paraId="09A0238C" w14:textId="0CB8CB16" w:rsidR="00DE7428" w:rsidRPr="00D16989" w:rsidRDefault="00DE7428" w:rsidP="00547AFA">
      <w:pPr>
        <w:pStyle w:val="FootnoteText"/>
        <w:spacing w:line="480" w:lineRule="auto"/>
        <w:rPr>
          <w:rFonts w:cstheme="minorHAnsi"/>
          <w:sz w:val="22"/>
          <w:szCs w:val="22"/>
        </w:rPr>
      </w:pPr>
      <w:r w:rsidRPr="00D16989">
        <w:rPr>
          <w:rStyle w:val="FootnoteReference"/>
          <w:rFonts w:cstheme="minorHAnsi"/>
          <w:sz w:val="22"/>
          <w:szCs w:val="22"/>
        </w:rPr>
        <w:t>3</w:t>
      </w:r>
      <w:r w:rsidRPr="00D16989">
        <w:rPr>
          <w:rFonts w:cstheme="minorHAnsi"/>
          <w:sz w:val="22"/>
          <w:szCs w:val="22"/>
        </w:rPr>
        <w:t xml:space="preserve"> Smithsonian Tropical Research Institute, Panama City, Panama</w:t>
      </w:r>
    </w:p>
    <w:p w14:paraId="5F806C87" w14:textId="2DAB0B31" w:rsidR="00DE7428" w:rsidRPr="00D16989" w:rsidRDefault="00DE7428" w:rsidP="00547AFA">
      <w:pPr>
        <w:pStyle w:val="FootnoteText"/>
        <w:spacing w:line="480" w:lineRule="auto"/>
        <w:rPr>
          <w:rFonts w:cstheme="minorHAnsi"/>
          <w:sz w:val="22"/>
          <w:szCs w:val="22"/>
        </w:rPr>
      </w:pPr>
      <w:r w:rsidRPr="00D16989">
        <w:rPr>
          <w:rStyle w:val="FootnoteReference"/>
          <w:rFonts w:cstheme="minorHAnsi"/>
          <w:sz w:val="22"/>
          <w:szCs w:val="22"/>
        </w:rPr>
        <w:t>4</w:t>
      </w:r>
      <w:r w:rsidRPr="00D16989">
        <w:rPr>
          <w:rFonts w:cstheme="minorHAnsi"/>
          <w:sz w:val="22"/>
          <w:szCs w:val="22"/>
        </w:rPr>
        <w:t xml:space="preserve"> Zoo New England, Boston, MA, USA</w:t>
      </w:r>
    </w:p>
    <w:p w14:paraId="5CD0597F" w14:textId="33F7AD5E" w:rsidR="00DE7428" w:rsidRPr="00D16989" w:rsidRDefault="00B4020F" w:rsidP="00B4020F">
      <w:pPr>
        <w:pStyle w:val="FootnoteText"/>
        <w:spacing w:line="480" w:lineRule="auto"/>
        <w:rPr>
          <w:rFonts w:cstheme="minorHAnsi"/>
          <w:sz w:val="22"/>
          <w:szCs w:val="22"/>
        </w:rPr>
      </w:pPr>
      <w:r w:rsidRPr="00B4020F">
        <w:rPr>
          <w:rFonts w:cstheme="minorHAnsi"/>
          <w:sz w:val="22"/>
          <w:szCs w:val="22"/>
          <w:vertAlign w:val="superscript"/>
        </w:rPr>
        <w:t>5</w:t>
      </w:r>
      <w:r>
        <w:rPr>
          <w:rFonts w:cstheme="minorHAnsi"/>
          <w:sz w:val="22"/>
          <w:szCs w:val="22"/>
        </w:rPr>
        <w:t xml:space="preserve"> </w:t>
      </w:r>
      <w:r w:rsidR="00DE7428" w:rsidRPr="00D16989">
        <w:rPr>
          <w:rFonts w:cstheme="minorHAnsi"/>
          <w:sz w:val="22"/>
          <w:szCs w:val="22"/>
        </w:rPr>
        <w:t>Amphibian Survival Alliance</w:t>
      </w:r>
    </w:p>
    <w:p w14:paraId="1C8DF35B" w14:textId="77777777" w:rsidR="00B4020F" w:rsidRDefault="2B73D757" w:rsidP="00B4020F">
      <w:pPr>
        <w:spacing w:line="480" w:lineRule="auto"/>
        <w:rPr>
          <w:rFonts w:asciiTheme="minorHAnsi" w:hAnsiTheme="minorHAnsi" w:cstheme="minorHAnsi"/>
          <w:sz w:val="22"/>
          <w:szCs w:val="22"/>
        </w:rPr>
      </w:pPr>
      <w:r w:rsidRPr="2B73D757">
        <w:rPr>
          <w:rStyle w:val="FootnoteReference"/>
          <w:rFonts w:asciiTheme="minorHAnsi" w:hAnsiTheme="minorHAnsi" w:cstheme="minorBidi"/>
          <w:sz w:val="22"/>
          <w:szCs w:val="22"/>
        </w:rPr>
        <w:t>6</w:t>
      </w:r>
      <w:r w:rsidRPr="2B73D757">
        <w:rPr>
          <w:rFonts w:asciiTheme="minorHAnsi" w:hAnsiTheme="minorHAnsi" w:cstheme="minorBidi"/>
          <w:sz w:val="22"/>
          <w:szCs w:val="22"/>
        </w:rPr>
        <w:t xml:space="preserve"> George Washington University, Washington DC, USA</w:t>
      </w:r>
    </w:p>
    <w:p w14:paraId="270A52C8" w14:textId="35A625A2" w:rsidR="2B73D757" w:rsidRDefault="00B4020F" w:rsidP="00B4020F">
      <w:pPr>
        <w:spacing w:line="480" w:lineRule="auto"/>
        <w:rPr>
          <w:rFonts w:asciiTheme="minorHAnsi" w:hAnsiTheme="minorHAnsi" w:cstheme="minorBidi"/>
          <w:sz w:val="22"/>
          <w:szCs w:val="22"/>
        </w:rPr>
      </w:pPr>
      <w:r w:rsidRPr="00B4020F">
        <w:rPr>
          <w:rFonts w:asciiTheme="minorHAnsi" w:hAnsiTheme="minorHAnsi" w:cstheme="minorBidi"/>
          <w:sz w:val="22"/>
          <w:szCs w:val="22"/>
          <w:vertAlign w:val="superscript"/>
        </w:rPr>
        <w:t xml:space="preserve">7 </w:t>
      </w:r>
      <w:r w:rsidR="08F181DD" w:rsidRPr="00B4020F">
        <w:rPr>
          <w:rFonts w:asciiTheme="minorHAnsi" w:hAnsiTheme="minorHAnsi" w:cstheme="minorBidi"/>
          <w:sz w:val="22"/>
          <w:szCs w:val="22"/>
        </w:rPr>
        <w:t>National Institute of Standards &amp; Technology, Gaithersburg, MD</w:t>
      </w:r>
    </w:p>
    <w:p w14:paraId="7CF67F6C" w14:textId="77777777" w:rsidR="00FC70F0" w:rsidRPr="00B4020F" w:rsidRDefault="00FC70F0" w:rsidP="00B4020F">
      <w:pPr>
        <w:spacing w:line="480" w:lineRule="auto"/>
        <w:rPr>
          <w:rFonts w:asciiTheme="minorHAnsi" w:hAnsiTheme="minorHAnsi" w:cstheme="minorHAnsi"/>
          <w:sz w:val="22"/>
          <w:szCs w:val="22"/>
        </w:rPr>
      </w:pPr>
    </w:p>
    <w:p w14:paraId="750209FE" w14:textId="1D869CA4" w:rsidR="08F181DD" w:rsidRDefault="00EF5B81" w:rsidP="00B4020F">
      <w:pPr>
        <w:spacing w:line="480" w:lineRule="auto"/>
        <w:rPr>
          <w:rFonts w:asciiTheme="minorHAnsi" w:hAnsiTheme="minorHAnsi" w:cstheme="minorBidi"/>
          <w:sz w:val="22"/>
          <w:szCs w:val="22"/>
        </w:rPr>
      </w:pPr>
      <w:r w:rsidRPr="00EF5B81">
        <w:rPr>
          <w:vertAlign w:val="superscript"/>
        </w:rPr>
        <w:t>¶</w:t>
      </w:r>
      <w:r w:rsidRPr="00EF5B81">
        <w:rPr>
          <w:rFonts w:asciiTheme="minorHAnsi" w:hAnsiTheme="minorHAnsi" w:cstheme="minorBidi"/>
          <w:sz w:val="22"/>
          <w:szCs w:val="22"/>
          <w:vertAlign w:val="superscript"/>
        </w:rPr>
        <w:t xml:space="preserve"> </w:t>
      </w:r>
      <w:r w:rsidR="08F181DD" w:rsidRPr="00B4020F">
        <w:rPr>
          <w:rFonts w:asciiTheme="minorHAnsi" w:hAnsiTheme="minorHAnsi" w:cstheme="minorBidi"/>
          <w:sz w:val="22"/>
          <w:szCs w:val="22"/>
        </w:rPr>
        <w:t xml:space="preserve">These authors contributed equally to </w:t>
      </w:r>
      <w:r w:rsidR="00FC70F0">
        <w:rPr>
          <w:rFonts w:asciiTheme="minorHAnsi" w:hAnsiTheme="minorHAnsi" w:cstheme="minorBidi"/>
          <w:sz w:val="22"/>
          <w:szCs w:val="22"/>
        </w:rPr>
        <w:t xml:space="preserve">this work. </w:t>
      </w:r>
      <w:r w:rsidR="08F181DD" w:rsidRPr="00B4020F">
        <w:rPr>
          <w:rFonts w:asciiTheme="minorHAnsi" w:hAnsiTheme="minorHAnsi" w:cstheme="minorBidi"/>
          <w:sz w:val="22"/>
          <w:szCs w:val="22"/>
        </w:rPr>
        <w:t xml:space="preserve"> </w:t>
      </w:r>
    </w:p>
    <w:p w14:paraId="4C90117A" w14:textId="11CBBBE6" w:rsidR="00FC70F0" w:rsidRDefault="00FC70F0" w:rsidP="00B4020F">
      <w:pPr>
        <w:spacing w:line="480" w:lineRule="auto"/>
        <w:rPr>
          <w:rFonts w:asciiTheme="minorHAnsi" w:hAnsiTheme="minorHAnsi" w:cstheme="minorBidi"/>
          <w:sz w:val="22"/>
          <w:szCs w:val="22"/>
        </w:rPr>
      </w:pPr>
      <w:r>
        <w:rPr>
          <w:rFonts w:asciiTheme="minorHAnsi" w:hAnsiTheme="minorHAnsi" w:cstheme="minorBidi"/>
          <w:sz w:val="22"/>
          <w:szCs w:val="22"/>
        </w:rPr>
        <w:t>*  Corresponding Author</w:t>
      </w:r>
    </w:p>
    <w:p w14:paraId="72CDE6ED" w14:textId="7E58CD34" w:rsidR="00FC70F0" w:rsidRPr="00B4020F" w:rsidRDefault="00FC70F0" w:rsidP="00B4020F">
      <w:pPr>
        <w:spacing w:line="480" w:lineRule="auto"/>
        <w:rPr>
          <w:rFonts w:asciiTheme="minorHAnsi" w:hAnsiTheme="minorHAnsi" w:cstheme="minorBidi"/>
          <w:sz w:val="22"/>
          <w:szCs w:val="22"/>
        </w:rPr>
      </w:pPr>
      <w:r>
        <w:rPr>
          <w:rFonts w:asciiTheme="minorHAnsi" w:hAnsiTheme="minorHAnsi" w:cstheme="minorBidi"/>
          <w:sz w:val="22"/>
          <w:szCs w:val="22"/>
        </w:rPr>
        <w:t xml:space="preserve">Email: </w:t>
      </w:r>
      <w:hyperlink r:id="rId8" w:history="1">
        <w:r w:rsidRPr="00A943E2">
          <w:rPr>
            <w:rStyle w:val="Hyperlink"/>
            <w:rFonts w:asciiTheme="minorHAnsi" w:hAnsiTheme="minorHAnsi" w:cstheme="minorBidi"/>
            <w:sz w:val="22"/>
            <w:szCs w:val="22"/>
          </w:rPr>
          <w:t>gratwickeb@si.edu</w:t>
        </w:r>
      </w:hyperlink>
      <w:r>
        <w:rPr>
          <w:rFonts w:asciiTheme="minorHAnsi" w:hAnsiTheme="minorHAnsi" w:cstheme="minorBidi"/>
          <w:sz w:val="22"/>
          <w:szCs w:val="22"/>
        </w:rPr>
        <w:t xml:space="preserve"> </w:t>
      </w:r>
    </w:p>
    <w:p w14:paraId="4893651D" w14:textId="77777777" w:rsidR="0028254D" w:rsidRPr="00D16989" w:rsidRDefault="0028254D" w:rsidP="00547AFA">
      <w:pPr>
        <w:spacing w:line="480" w:lineRule="auto"/>
        <w:rPr>
          <w:rFonts w:asciiTheme="minorHAnsi" w:hAnsiTheme="minorHAnsi" w:cstheme="minorHAnsi"/>
          <w:b/>
          <w:bCs/>
          <w:sz w:val="22"/>
          <w:szCs w:val="22"/>
        </w:rPr>
      </w:pPr>
    </w:p>
    <w:p w14:paraId="3F9546A2" w14:textId="77777777" w:rsidR="00FC70F0" w:rsidRDefault="00EF5B81" w:rsidP="00547AFA">
      <w:pPr>
        <w:spacing w:line="480" w:lineRule="auto"/>
        <w:rPr>
          <w:rFonts w:asciiTheme="minorHAnsi" w:hAnsiTheme="minorHAnsi" w:cstheme="minorHAnsi"/>
          <w:b/>
          <w:bCs/>
          <w:sz w:val="22"/>
          <w:szCs w:val="22"/>
        </w:rPr>
      </w:pPr>
      <w:r>
        <w:rPr>
          <w:rFonts w:asciiTheme="minorHAnsi" w:hAnsiTheme="minorHAnsi" w:cstheme="minorHAnsi"/>
          <w:b/>
          <w:bCs/>
          <w:sz w:val="22"/>
          <w:szCs w:val="22"/>
        </w:rPr>
        <w:br/>
      </w:r>
    </w:p>
    <w:p w14:paraId="30AC70A7" w14:textId="65A9D675" w:rsidR="00900D9D" w:rsidRPr="00D16989" w:rsidRDefault="001B57C0" w:rsidP="00547AFA">
      <w:pPr>
        <w:spacing w:line="480" w:lineRule="auto"/>
        <w:rPr>
          <w:rFonts w:asciiTheme="minorHAnsi" w:hAnsiTheme="minorHAnsi" w:cstheme="minorHAnsi"/>
          <w:b/>
          <w:bCs/>
          <w:sz w:val="22"/>
          <w:szCs w:val="22"/>
        </w:rPr>
      </w:pPr>
      <w:r w:rsidRPr="00D16989">
        <w:rPr>
          <w:rFonts w:asciiTheme="minorHAnsi" w:hAnsiTheme="minorHAnsi" w:cstheme="minorHAnsi"/>
          <w:b/>
          <w:bCs/>
          <w:sz w:val="22"/>
          <w:szCs w:val="22"/>
        </w:rPr>
        <w:lastRenderedPageBreak/>
        <w:t>Abstract</w:t>
      </w:r>
    </w:p>
    <w:p w14:paraId="07BD0698" w14:textId="10796B7D" w:rsidR="00C90C1C" w:rsidRPr="00D16989" w:rsidRDefault="0124A3DB" w:rsidP="412D9500">
      <w:pPr>
        <w:spacing w:line="480" w:lineRule="auto"/>
        <w:rPr>
          <w:rFonts w:asciiTheme="minorHAnsi" w:hAnsiTheme="minorHAnsi" w:cstheme="minorBidi"/>
          <w:sz w:val="22"/>
          <w:szCs w:val="22"/>
        </w:rPr>
      </w:pPr>
      <w:r w:rsidRPr="0124A3DB">
        <w:rPr>
          <w:rFonts w:asciiTheme="minorHAnsi" w:hAnsiTheme="minorHAnsi" w:cstheme="minorBidi"/>
          <w:sz w:val="22"/>
          <w:szCs w:val="22"/>
        </w:rPr>
        <w:t xml:space="preserve">Strategies to improve survival of wildlife impacted by emerging infectious disease are needed for species of conservation concern. We investigated how prior infection by the skin fungal pathogen, </w:t>
      </w:r>
      <w:r w:rsidRPr="0124A3DB">
        <w:rPr>
          <w:rFonts w:asciiTheme="minorHAnsi" w:hAnsiTheme="minorHAnsi" w:cstheme="minorBidi"/>
          <w:i/>
          <w:iCs/>
          <w:sz w:val="22"/>
          <w:szCs w:val="22"/>
        </w:rPr>
        <w:t>Batrachochytrium dendrobatidis</w:t>
      </w:r>
      <w:r w:rsidRPr="0124A3DB">
        <w:rPr>
          <w:rFonts w:asciiTheme="minorHAnsi" w:hAnsiTheme="minorHAnsi" w:cstheme="minorBidi"/>
          <w:b/>
          <w:bCs/>
          <w:sz w:val="22"/>
          <w:szCs w:val="22"/>
        </w:rPr>
        <w:t xml:space="preserve"> </w:t>
      </w:r>
      <w:r w:rsidRPr="0124A3DB">
        <w:rPr>
          <w:rFonts w:asciiTheme="minorHAnsi" w:hAnsiTheme="minorHAnsi" w:cstheme="minorBidi"/>
          <w:sz w:val="22"/>
          <w:szCs w:val="22"/>
        </w:rPr>
        <w:t xml:space="preserve">(Bd), affected subsequent disease outcomes in a highly susceptible and critically endangered toad, </w:t>
      </w:r>
      <w:proofErr w:type="spellStart"/>
      <w:r w:rsidRPr="0124A3DB">
        <w:rPr>
          <w:rFonts w:asciiTheme="minorHAnsi" w:hAnsiTheme="minorHAnsi" w:cstheme="minorBidi"/>
          <w:i/>
          <w:iCs/>
          <w:sz w:val="22"/>
          <w:szCs w:val="22"/>
        </w:rPr>
        <w:t>Atelopus</w:t>
      </w:r>
      <w:proofErr w:type="spellEnd"/>
      <w:r w:rsidRPr="0124A3DB">
        <w:rPr>
          <w:rFonts w:asciiTheme="minorHAnsi" w:hAnsiTheme="minorHAnsi" w:cstheme="minorBidi"/>
          <w:sz w:val="22"/>
          <w:szCs w:val="22"/>
        </w:rPr>
        <w:t xml:space="preserve"> </w:t>
      </w:r>
      <w:proofErr w:type="spellStart"/>
      <w:r w:rsidRPr="0124A3DB">
        <w:rPr>
          <w:rFonts w:asciiTheme="minorHAnsi" w:hAnsiTheme="minorHAnsi" w:cstheme="minorBidi"/>
          <w:i/>
          <w:iCs/>
          <w:sz w:val="22"/>
          <w:szCs w:val="22"/>
        </w:rPr>
        <w:t>glyphus</w:t>
      </w:r>
      <w:proofErr w:type="spellEnd"/>
      <w:r w:rsidRPr="0124A3DB">
        <w:rPr>
          <w:rFonts w:asciiTheme="minorHAnsi" w:hAnsiTheme="minorHAnsi" w:cstheme="minorBidi"/>
          <w:sz w:val="22"/>
          <w:szCs w:val="22"/>
        </w:rPr>
        <w:t>. Our experimental design consisted of: 1) Bd infection followed by itraconazole clearance and Bd re</w:t>
      </w:r>
      <w:r w:rsidR="00584089">
        <w:rPr>
          <w:rFonts w:asciiTheme="minorHAnsi" w:hAnsiTheme="minorHAnsi" w:cstheme="minorBidi"/>
          <w:sz w:val="22"/>
          <w:szCs w:val="22"/>
        </w:rPr>
        <w:t>-</w:t>
      </w:r>
      <w:r w:rsidRPr="0124A3DB">
        <w:rPr>
          <w:rFonts w:asciiTheme="minorHAnsi" w:hAnsiTheme="minorHAnsi" w:cstheme="minorBidi"/>
          <w:sz w:val="22"/>
          <w:szCs w:val="22"/>
        </w:rPr>
        <w:t xml:space="preserve">infection (Bd-Bd n = 20), 2) mock infection followed by itraconazole treatment and Bd infection (mock-Bd n = 20), 3) Bd infection followed by itraconazole clearance and mock infection (Bd-mock n = 10), 4) mock infection followed by itraconazole treatment and mock infection (mock-mock n = 10), 5) untreated animals (untreated n = 10). </w:t>
      </w:r>
      <w:r w:rsidR="00242C97">
        <w:rPr>
          <w:rFonts w:asciiTheme="minorHAnsi" w:hAnsiTheme="minorHAnsi" w:cstheme="minorBidi"/>
          <w:sz w:val="22"/>
          <w:szCs w:val="22"/>
        </w:rPr>
        <w:t xml:space="preserve">Prior infection </w:t>
      </w:r>
      <w:r w:rsidRPr="0124A3DB">
        <w:rPr>
          <w:rFonts w:asciiTheme="minorHAnsi" w:hAnsiTheme="minorHAnsi" w:cstheme="minorBidi"/>
          <w:sz w:val="22"/>
          <w:szCs w:val="22"/>
        </w:rPr>
        <w:t xml:space="preserve">shifted the skin bacterial and fungal communities to a new state enriched in </w:t>
      </w:r>
      <w:r w:rsidR="003D1D78">
        <w:rPr>
          <w:rFonts w:asciiTheme="minorHAnsi" w:hAnsiTheme="minorHAnsi" w:cstheme="minorBidi"/>
          <w:sz w:val="22"/>
          <w:szCs w:val="22"/>
        </w:rPr>
        <w:t xml:space="preserve">putatively </w:t>
      </w:r>
      <w:r w:rsidRPr="0124A3DB">
        <w:rPr>
          <w:rFonts w:asciiTheme="minorHAnsi" w:hAnsiTheme="minorHAnsi" w:cstheme="minorBidi"/>
          <w:sz w:val="22"/>
          <w:szCs w:val="22"/>
        </w:rPr>
        <w:t xml:space="preserve">anti-Bd bacteria. </w:t>
      </w:r>
      <w:r w:rsidR="00EF1CD0">
        <w:rPr>
          <w:rFonts w:asciiTheme="minorHAnsi" w:hAnsiTheme="minorHAnsi" w:cstheme="minorBidi"/>
          <w:sz w:val="22"/>
          <w:szCs w:val="22"/>
        </w:rPr>
        <w:t>However</w:t>
      </w:r>
      <w:r w:rsidR="00EF1CD0" w:rsidRPr="0124A3DB">
        <w:rPr>
          <w:rFonts w:asciiTheme="minorHAnsi" w:hAnsiTheme="minorHAnsi" w:cstheme="minorBidi"/>
          <w:sz w:val="22"/>
          <w:szCs w:val="22"/>
        </w:rPr>
        <w:t>, prior infection worsened disease outcomes</w:t>
      </w:r>
      <w:r w:rsidR="00EF1CD0" w:rsidRPr="0124A3DB">
        <w:rPr>
          <w:rFonts w:asciiTheme="minorHAnsi" w:hAnsiTheme="minorHAnsi" w:cstheme="minorBidi"/>
          <w:i/>
          <w:iCs/>
          <w:sz w:val="22"/>
          <w:szCs w:val="22"/>
        </w:rPr>
        <w:t>,</w:t>
      </w:r>
      <w:r w:rsidR="00EF1CD0" w:rsidRPr="0124A3DB">
        <w:rPr>
          <w:rFonts w:asciiTheme="minorHAnsi" w:hAnsiTheme="minorHAnsi" w:cstheme="minorBidi"/>
          <w:sz w:val="22"/>
          <w:szCs w:val="22"/>
        </w:rPr>
        <w:t xml:space="preserve"> accelerating Bd infection and mortality </w:t>
      </w:r>
      <w:r w:rsidR="00EF1CD0">
        <w:rPr>
          <w:rFonts w:asciiTheme="minorHAnsi" w:hAnsiTheme="minorHAnsi" w:cstheme="minorBidi"/>
          <w:sz w:val="22"/>
          <w:szCs w:val="22"/>
        </w:rPr>
        <w:t xml:space="preserve">in </w:t>
      </w:r>
      <w:r w:rsidR="00441462">
        <w:rPr>
          <w:rFonts w:asciiTheme="minorHAnsi" w:hAnsiTheme="minorHAnsi" w:cstheme="minorBidi"/>
          <w:sz w:val="22"/>
          <w:szCs w:val="22"/>
        </w:rPr>
        <w:t>prior infected</w:t>
      </w:r>
      <w:r w:rsidR="00EF1CD0">
        <w:rPr>
          <w:rFonts w:asciiTheme="minorHAnsi" w:hAnsiTheme="minorHAnsi" w:cstheme="minorBidi"/>
          <w:sz w:val="22"/>
          <w:szCs w:val="22"/>
        </w:rPr>
        <w:t xml:space="preserve"> animals </w:t>
      </w:r>
      <w:r w:rsidR="00EF1CD0" w:rsidRPr="0124A3DB">
        <w:rPr>
          <w:rFonts w:asciiTheme="minorHAnsi" w:hAnsiTheme="minorHAnsi" w:cstheme="minorBidi"/>
          <w:sz w:val="22"/>
          <w:szCs w:val="22"/>
        </w:rPr>
        <w:t xml:space="preserve">compared to naïve animals. </w:t>
      </w:r>
      <w:r w:rsidR="00FD402E">
        <w:rPr>
          <w:rFonts w:asciiTheme="minorHAnsi" w:hAnsiTheme="minorHAnsi" w:cstheme="minorBidi"/>
          <w:sz w:val="22"/>
          <w:szCs w:val="22"/>
        </w:rPr>
        <w:t>Prior infection a</w:t>
      </w:r>
      <w:r w:rsidR="0083579A" w:rsidRPr="0124A3DB">
        <w:rPr>
          <w:rFonts w:asciiTheme="minorHAnsi" w:hAnsiTheme="minorHAnsi" w:cstheme="minorBidi"/>
          <w:sz w:val="22"/>
          <w:szCs w:val="22"/>
        </w:rPr>
        <w:t>nimals</w:t>
      </w:r>
      <w:r w:rsidR="0083579A">
        <w:rPr>
          <w:rFonts w:asciiTheme="minorHAnsi" w:hAnsiTheme="minorHAnsi" w:cstheme="minorBidi"/>
          <w:sz w:val="22"/>
          <w:szCs w:val="22"/>
        </w:rPr>
        <w:t xml:space="preserve"> </w:t>
      </w:r>
      <w:r w:rsidR="00A85259">
        <w:rPr>
          <w:rFonts w:asciiTheme="minorHAnsi" w:hAnsiTheme="minorHAnsi" w:cstheme="minorBidi"/>
          <w:sz w:val="22"/>
          <w:szCs w:val="22"/>
        </w:rPr>
        <w:t xml:space="preserve">not re-infected (Bd-mock) </w:t>
      </w:r>
      <w:r w:rsidR="0083579A">
        <w:rPr>
          <w:rFonts w:asciiTheme="minorHAnsi" w:hAnsiTheme="minorHAnsi" w:cstheme="minorBidi"/>
          <w:sz w:val="22"/>
          <w:szCs w:val="22"/>
        </w:rPr>
        <w:t xml:space="preserve">showed </w:t>
      </w:r>
      <w:r w:rsidR="0022061C">
        <w:rPr>
          <w:rFonts w:asciiTheme="minorHAnsi" w:hAnsiTheme="minorHAnsi" w:cstheme="minorBidi"/>
          <w:sz w:val="22"/>
          <w:szCs w:val="22"/>
        </w:rPr>
        <w:t xml:space="preserve">immune gene </w:t>
      </w:r>
      <w:r w:rsidR="0083579A">
        <w:rPr>
          <w:rFonts w:asciiTheme="minorHAnsi" w:hAnsiTheme="minorHAnsi" w:cstheme="minorBidi"/>
          <w:sz w:val="22"/>
          <w:szCs w:val="22"/>
        </w:rPr>
        <w:t xml:space="preserve">downregulation </w:t>
      </w:r>
      <w:r w:rsidR="0083579A" w:rsidRPr="0124A3DB">
        <w:rPr>
          <w:rFonts w:asciiTheme="minorHAnsi" w:hAnsiTheme="minorHAnsi" w:cstheme="minorBidi"/>
          <w:sz w:val="22"/>
          <w:szCs w:val="22"/>
        </w:rPr>
        <w:t>compared to</w:t>
      </w:r>
      <w:r w:rsidR="0083579A">
        <w:rPr>
          <w:rFonts w:asciiTheme="minorHAnsi" w:hAnsiTheme="minorHAnsi" w:cstheme="minorBidi"/>
          <w:sz w:val="22"/>
          <w:szCs w:val="22"/>
        </w:rPr>
        <w:t xml:space="preserve"> re-infected</w:t>
      </w:r>
      <w:r w:rsidR="0083579A" w:rsidRPr="0124A3DB">
        <w:rPr>
          <w:rFonts w:asciiTheme="minorHAnsi" w:hAnsiTheme="minorHAnsi" w:cstheme="minorBidi"/>
          <w:sz w:val="22"/>
          <w:szCs w:val="22"/>
        </w:rPr>
        <w:t xml:space="preserve"> </w:t>
      </w:r>
      <w:r w:rsidR="0083579A">
        <w:rPr>
          <w:rFonts w:asciiTheme="minorHAnsi" w:hAnsiTheme="minorHAnsi" w:cstheme="minorBidi"/>
          <w:sz w:val="22"/>
          <w:szCs w:val="22"/>
        </w:rPr>
        <w:t>Bd-Bd animals suggesting that even after Bd clearance, Bd caused sustained immunosuppression in genes that respond to Bd</w:t>
      </w:r>
      <w:r w:rsidR="00997FCA">
        <w:rPr>
          <w:rFonts w:asciiTheme="minorHAnsi" w:hAnsiTheme="minorHAnsi" w:cstheme="minorBidi"/>
          <w:sz w:val="22"/>
          <w:szCs w:val="22"/>
        </w:rPr>
        <w:t xml:space="preserve">; this </w:t>
      </w:r>
      <w:r w:rsidR="00897D3E">
        <w:rPr>
          <w:rFonts w:asciiTheme="minorHAnsi" w:hAnsiTheme="minorHAnsi" w:cstheme="minorBidi"/>
          <w:sz w:val="22"/>
          <w:szCs w:val="22"/>
        </w:rPr>
        <w:t>likely l</w:t>
      </w:r>
      <w:r w:rsidR="00997FCA">
        <w:rPr>
          <w:rFonts w:asciiTheme="minorHAnsi" w:hAnsiTheme="minorHAnsi" w:cstheme="minorBidi"/>
          <w:sz w:val="22"/>
          <w:szCs w:val="22"/>
        </w:rPr>
        <w:t xml:space="preserve">ed </w:t>
      </w:r>
      <w:r w:rsidR="00897D3E">
        <w:rPr>
          <w:rFonts w:asciiTheme="minorHAnsi" w:hAnsiTheme="minorHAnsi" w:cstheme="minorBidi"/>
          <w:sz w:val="22"/>
          <w:szCs w:val="22"/>
        </w:rPr>
        <w:t xml:space="preserve">to lowered </w:t>
      </w:r>
      <w:r w:rsidR="00897D3E" w:rsidRPr="00F33139">
        <w:rPr>
          <w:rFonts w:asciiTheme="minorHAnsi" w:hAnsiTheme="minorHAnsi" w:cstheme="minorBidi"/>
          <w:sz w:val="22"/>
          <w:szCs w:val="22"/>
        </w:rPr>
        <w:t xml:space="preserve">immune efficacies </w:t>
      </w:r>
      <w:r w:rsidR="00964383">
        <w:rPr>
          <w:rFonts w:asciiTheme="minorHAnsi" w:hAnsiTheme="minorHAnsi" w:cstheme="minorBidi"/>
          <w:sz w:val="22"/>
          <w:szCs w:val="22"/>
        </w:rPr>
        <w:t>when</w:t>
      </w:r>
      <w:r w:rsidR="00897D3E" w:rsidRPr="00F33139">
        <w:rPr>
          <w:rFonts w:asciiTheme="minorHAnsi" w:hAnsiTheme="minorHAnsi" w:cstheme="minorBidi"/>
          <w:sz w:val="22"/>
          <w:szCs w:val="22"/>
        </w:rPr>
        <w:t xml:space="preserve"> re-infect</w:t>
      </w:r>
      <w:r w:rsidR="00964383">
        <w:rPr>
          <w:rFonts w:asciiTheme="minorHAnsi" w:hAnsiTheme="minorHAnsi" w:cstheme="minorBidi"/>
          <w:sz w:val="22"/>
          <w:szCs w:val="22"/>
        </w:rPr>
        <w:t>ed</w:t>
      </w:r>
      <w:r w:rsidR="0083579A">
        <w:rPr>
          <w:rFonts w:asciiTheme="minorHAnsi" w:hAnsiTheme="minorHAnsi" w:cstheme="minorBidi"/>
          <w:sz w:val="22"/>
          <w:szCs w:val="22"/>
        </w:rPr>
        <w:t xml:space="preserve">. </w:t>
      </w:r>
      <w:r w:rsidRPr="0124A3DB">
        <w:rPr>
          <w:rFonts w:asciiTheme="minorHAnsi" w:hAnsiTheme="minorHAnsi" w:cstheme="minorBidi"/>
          <w:sz w:val="22"/>
          <w:szCs w:val="22"/>
        </w:rPr>
        <w:t>Upon re-infection, as Bd load increased, Bd became the primary driver of both immune expression and bacterial composition changes regardless of infection history.</w:t>
      </w:r>
      <w:r w:rsidR="00525259" w:rsidRPr="00525259">
        <w:rPr>
          <w:rFonts w:asciiTheme="minorHAnsi" w:hAnsiTheme="minorHAnsi" w:cstheme="minorBidi"/>
          <w:sz w:val="22"/>
          <w:szCs w:val="22"/>
        </w:rPr>
        <w:t xml:space="preserve"> </w:t>
      </w:r>
      <w:r w:rsidR="00636CE5" w:rsidRPr="0124A3DB">
        <w:rPr>
          <w:rFonts w:asciiTheme="minorHAnsi" w:hAnsiTheme="minorHAnsi" w:cstheme="minorBidi"/>
          <w:sz w:val="22"/>
          <w:szCs w:val="22"/>
        </w:rPr>
        <w:t xml:space="preserve">Observed bacterial community differences were closely tied to host immune gene expression. </w:t>
      </w:r>
      <w:r w:rsidR="008E11C2" w:rsidRPr="0124A3DB">
        <w:rPr>
          <w:rFonts w:asciiTheme="minorHAnsi" w:hAnsiTheme="minorHAnsi" w:cstheme="minorBidi"/>
          <w:sz w:val="22"/>
          <w:szCs w:val="22"/>
        </w:rPr>
        <w:t>The fungal community did not shift in response to re-infection</w:t>
      </w:r>
      <w:r w:rsidR="001057CC">
        <w:rPr>
          <w:rFonts w:asciiTheme="minorHAnsi" w:hAnsiTheme="minorHAnsi" w:cstheme="minorBidi"/>
          <w:sz w:val="22"/>
          <w:szCs w:val="22"/>
        </w:rPr>
        <w:t xml:space="preserve">, </w:t>
      </w:r>
      <w:r w:rsidR="001057CC" w:rsidRPr="0124A3DB">
        <w:rPr>
          <w:rFonts w:asciiTheme="minorHAnsi" w:hAnsiTheme="minorHAnsi" w:cstheme="minorBidi"/>
          <w:sz w:val="22"/>
          <w:szCs w:val="22"/>
        </w:rPr>
        <w:t xml:space="preserve">suggesting that the initial shift was due to itraconazole </w:t>
      </w:r>
      <w:r w:rsidR="000121EC">
        <w:rPr>
          <w:rFonts w:asciiTheme="minorHAnsi" w:hAnsiTheme="minorHAnsi" w:cstheme="minorBidi"/>
          <w:sz w:val="22"/>
          <w:szCs w:val="22"/>
        </w:rPr>
        <w:t>treatment</w:t>
      </w:r>
      <w:r w:rsidR="008E11C2" w:rsidRPr="0124A3DB">
        <w:rPr>
          <w:rFonts w:asciiTheme="minorHAnsi" w:hAnsiTheme="minorHAnsi" w:cstheme="minorBidi"/>
          <w:sz w:val="22"/>
          <w:szCs w:val="22"/>
        </w:rPr>
        <w:t xml:space="preserve">. </w:t>
      </w:r>
      <w:r w:rsidR="0077478E">
        <w:rPr>
          <w:rFonts w:asciiTheme="minorHAnsi" w:hAnsiTheme="minorHAnsi" w:cstheme="minorBidi"/>
          <w:sz w:val="22"/>
          <w:szCs w:val="22"/>
        </w:rPr>
        <w:t xml:space="preserve">Prior infected </w:t>
      </w:r>
      <w:r w:rsidR="005D435E">
        <w:rPr>
          <w:rFonts w:asciiTheme="minorHAnsi" w:hAnsiTheme="minorHAnsi" w:cstheme="minorBidi"/>
          <w:sz w:val="22"/>
          <w:szCs w:val="22"/>
        </w:rPr>
        <w:t xml:space="preserve">Bd-Bd </w:t>
      </w:r>
      <w:r w:rsidR="00CD5C8D" w:rsidRPr="00525259">
        <w:rPr>
          <w:rFonts w:asciiTheme="minorHAnsi" w:hAnsiTheme="minorHAnsi" w:cstheme="minorBidi"/>
          <w:sz w:val="22"/>
          <w:szCs w:val="22"/>
        </w:rPr>
        <w:t xml:space="preserve">animals did not show any novel shifts in </w:t>
      </w:r>
      <w:r w:rsidR="00CA7117">
        <w:rPr>
          <w:rFonts w:asciiTheme="minorHAnsi" w:hAnsiTheme="minorHAnsi" w:cstheme="minorBidi"/>
          <w:sz w:val="22"/>
          <w:szCs w:val="22"/>
        </w:rPr>
        <w:t>immune gene</w:t>
      </w:r>
      <w:r w:rsidR="00CD5C8D" w:rsidRPr="00525259">
        <w:rPr>
          <w:rFonts w:asciiTheme="minorHAnsi" w:hAnsiTheme="minorHAnsi" w:cstheme="minorBidi"/>
          <w:sz w:val="22"/>
          <w:szCs w:val="22"/>
        </w:rPr>
        <w:t xml:space="preserve"> expression</w:t>
      </w:r>
      <w:r w:rsidR="00CD5C8D">
        <w:rPr>
          <w:rFonts w:asciiTheme="minorHAnsi" w:hAnsiTheme="minorHAnsi" w:cstheme="minorBidi"/>
          <w:sz w:val="22"/>
          <w:szCs w:val="22"/>
        </w:rPr>
        <w:t>, r</w:t>
      </w:r>
      <w:r w:rsidR="00CD5C8D" w:rsidRPr="00525259">
        <w:rPr>
          <w:rFonts w:asciiTheme="minorHAnsi" w:hAnsiTheme="minorHAnsi" w:cstheme="minorBidi"/>
          <w:sz w:val="22"/>
          <w:szCs w:val="22"/>
        </w:rPr>
        <w:t xml:space="preserve">ather </w:t>
      </w:r>
      <w:r w:rsidR="009F2E89">
        <w:rPr>
          <w:rFonts w:asciiTheme="minorHAnsi" w:hAnsiTheme="minorHAnsi" w:cstheme="minorBidi"/>
          <w:sz w:val="22"/>
          <w:szCs w:val="22"/>
        </w:rPr>
        <w:t xml:space="preserve">they had </w:t>
      </w:r>
      <w:r w:rsidR="00CD5C8D" w:rsidRPr="00525259">
        <w:rPr>
          <w:rFonts w:asciiTheme="minorHAnsi" w:hAnsiTheme="minorHAnsi" w:cstheme="minorBidi"/>
          <w:sz w:val="22"/>
          <w:szCs w:val="22"/>
        </w:rPr>
        <w:t xml:space="preserve">similar expression </w:t>
      </w:r>
      <w:r w:rsidR="00CB2FED">
        <w:rPr>
          <w:rFonts w:asciiTheme="minorHAnsi" w:hAnsiTheme="minorHAnsi" w:cstheme="minorBidi"/>
          <w:sz w:val="22"/>
          <w:szCs w:val="22"/>
        </w:rPr>
        <w:t xml:space="preserve">patterns </w:t>
      </w:r>
      <w:r w:rsidR="00CD5C8D" w:rsidRPr="00525259">
        <w:rPr>
          <w:rFonts w:asciiTheme="minorHAnsi" w:hAnsiTheme="minorHAnsi" w:cstheme="minorBidi"/>
          <w:sz w:val="22"/>
          <w:szCs w:val="22"/>
        </w:rPr>
        <w:t xml:space="preserve">that were just more pronounced compared to </w:t>
      </w:r>
      <w:r w:rsidR="00CD5C8D">
        <w:rPr>
          <w:rFonts w:asciiTheme="minorHAnsi" w:hAnsiTheme="minorHAnsi" w:cstheme="minorBidi"/>
          <w:sz w:val="22"/>
          <w:szCs w:val="22"/>
        </w:rPr>
        <w:t xml:space="preserve">naïve </w:t>
      </w:r>
      <w:r w:rsidR="00CD5C8D" w:rsidRPr="00525259">
        <w:rPr>
          <w:rFonts w:asciiTheme="minorHAnsi" w:hAnsiTheme="minorHAnsi" w:cstheme="minorBidi"/>
          <w:sz w:val="22"/>
          <w:szCs w:val="22"/>
        </w:rPr>
        <w:t>mock-Bd animal</w:t>
      </w:r>
      <w:r w:rsidR="006813F5">
        <w:rPr>
          <w:rFonts w:asciiTheme="minorHAnsi" w:hAnsiTheme="minorHAnsi" w:cstheme="minorBidi"/>
          <w:sz w:val="22"/>
          <w:szCs w:val="22"/>
        </w:rPr>
        <w:t>. This</w:t>
      </w:r>
      <w:r w:rsidR="00A6009C">
        <w:rPr>
          <w:rFonts w:asciiTheme="minorHAnsi" w:hAnsiTheme="minorHAnsi" w:cstheme="minorBidi"/>
          <w:sz w:val="22"/>
          <w:szCs w:val="22"/>
        </w:rPr>
        <w:t xml:space="preserve"> suggest</w:t>
      </w:r>
      <w:r w:rsidR="006813F5">
        <w:rPr>
          <w:rFonts w:asciiTheme="minorHAnsi" w:hAnsiTheme="minorHAnsi" w:cstheme="minorBidi"/>
          <w:sz w:val="22"/>
          <w:szCs w:val="22"/>
        </w:rPr>
        <w:t>s</w:t>
      </w:r>
      <w:r w:rsidR="00A6009C">
        <w:rPr>
          <w:rFonts w:asciiTheme="minorHAnsi" w:hAnsiTheme="minorHAnsi" w:cstheme="minorBidi"/>
          <w:sz w:val="22"/>
          <w:szCs w:val="22"/>
        </w:rPr>
        <w:t xml:space="preserve"> that the </w:t>
      </w:r>
      <w:r w:rsidR="00DA3B65" w:rsidRPr="00F33139">
        <w:rPr>
          <w:rFonts w:asciiTheme="minorHAnsi" w:hAnsiTheme="minorHAnsi" w:cstheme="minorBidi"/>
          <w:sz w:val="22"/>
          <w:szCs w:val="22"/>
        </w:rPr>
        <w:t xml:space="preserve">infection-clearance-infection </w:t>
      </w:r>
      <w:r w:rsidR="00A6009C">
        <w:rPr>
          <w:rFonts w:asciiTheme="minorHAnsi" w:hAnsiTheme="minorHAnsi" w:cstheme="minorBidi"/>
          <w:sz w:val="22"/>
          <w:szCs w:val="22"/>
        </w:rPr>
        <w:t>treatment</w:t>
      </w:r>
      <w:r w:rsidR="00CF6982">
        <w:rPr>
          <w:rFonts w:asciiTheme="minorHAnsi" w:hAnsiTheme="minorHAnsi" w:cstheme="minorBidi"/>
          <w:sz w:val="22"/>
          <w:szCs w:val="22"/>
        </w:rPr>
        <w:t xml:space="preserve"> was ineffective </w:t>
      </w:r>
      <w:r w:rsidR="00CF6982" w:rsidRPr="00F33139">
        <w:rPr>
          <w:rFonts w:asciiTheme="minorHAnsi" w:hAnsiTheme="minorHAnsi" w:cstheme="minorBidi"/>
          <w:sz w:val="22"/>
          <w:szCs w:val="22"/>
        </w:rPr>
        <w:t>in improving animal survival</w:t>
      </w:r>
      <w:r w:rsidR="00CF6982">
        <w:rPr>
          <w:rFonts w:asciiTheme="minorHAnsi" w:hAnsiTheme="minorHAnsi" w:cstheme="minorBidi"/>
          <w:sz w:val="22"/>
          <w:szCs w:val="22"/>
        </w:rPr>
        <w:t xml:space="preserve"> because there was </w:t>
      </w:r>
      <w:r w:rsidR="00CF6982" w:rsidRPr="00F33139">
        <w:rPr>
          <w:rFonts w:asciiTheme="minorHAnsi" w:hAnsiTheme="minorHAnsi" w:cstheme="minorBidi"/>
          <w:sz w:val="22"/>
          <w:szCs w:val="22"/>
        </w:rPr>
        <w:t xml:space="preserve">limited long-lasting effects on immune genes once the pathogen </w:t>
      </w:r>
      <w:r w:rsidR="00DA3B65">
        <w:rPr>
          <w:rFonts w:asciiTheme="minorHAnsi" w:hAnsiTheme="minorHAnsi" w:cstheme="minorBidi"/>
          <w:sz w:val="22"/>
          <w:szCs w:val="22"/>
        </w:rPr>
        <w:t>was</w:t>
      </w:r>
      <w:r w:rsidR="00CF6982" w:rsidRPr="00F33139">
        <w:rPr>
          <w:rFonts w:asciiTheme="minorHAnsi" w:hAnsiTheme="minorHAnsi" w:cstheme="minorBidi"/>
          <w:sz w:val="22"/>
          <w:szCs w:val="22"/>
        </w:rPr>
        <w:t xml:space="preserve"> re-encountered</w:t>
      </w:r>
      <w:r w:rsidR="00CA364D">
        <w:rPr>
          <w:rFonts w:asciiTheme="minorHAnsi" w:hAnsiTheme="minorHAnsi" w:cstheme="minorBidi"/>
          <w:sz w:val="22"/>
          <w:szCs w:val="22"/>
        </w:rPr>
        <w:t xml:space="preserve">. </w:t>
      </w:r>
      <w:r w:rsidRPr="0124A3DB">
        <w:rPr>
          <w:rFonts w:asciiTheme="minorHAnsi" w:hAnsiTheme="minorHAnsi" w:cstheme="minorBidi"/>
          <w:sz w:val="22"/>
          <w:szCs w:val="22"/>
        </w:rPr>
        <w:t xml:space="preserve">Unlike previous studies demonstrating protective effects following Bd clearance in other species, this highly susceptible amphibian showed no evidence of acquired resistance. </w:t>
      </w:r>
      <w:r w:rsidR="007C0910" w:rsidRPr="6CE53797">
        <w:rPr>
          <w:rFonts w:asciiTheme="minorHAnsi" w:hAnsiTheme="minorHAnsi" w:cstheme="minorBidi"/>
          <w:sz w:val="22"/>
          <w:szCs w:val="22"/>
        </w:rPr>
        <w:lastRenderedPageBreak/>
        <w:t xml:space="preserve">Our results underscore the species-specific nature of disease outcomes and the value of integrative approaches for </w:t>
      </w:r>
      <w:r w:rsidR="002C3A98">
        <w:rPr>
          <w:rFonts w:asciiTheme="minorHAnsi" w:hAnsiTheme="minorHAnsi" w:cstheme="minorBidi"/>
          <w:sz w:val="22"/>
          <w:szCs w:val="22"/>
        </w:rPr>
        <w:t xml:space="preserve">examining </w:t>
      </w:r>
      <w:r w:rsidR="00A2388E">
        <w:rPr>
          <w:rFonts w:asciiTheme="minorHAnsi" w:hAnsiTheme="minorHAnsi" w:cstheme="minorBidi"/>
          <w:sz w:val="22"/>
          <w:szCs w:val="22"/>
        </w:rPr>
        <w:t xml:space="preserve">strategies to reduce </w:t>
      </w:r>
      <w:r w:rsidRPr="0124A3DB">
        <w:rPr>
          <w:rFonts w:asciiTheme="minorHAnsi" w:hAnsiTheme="minorHAnsi" w:cstheme="minorBidi"/>
          <w:sz w:val="22"/>
          <w:szCs w:val="22"/>
        </w:rPr>
        <w:t xml:space="preserve">pathogen </w:t>
      </w:r>
      <w:r w:rsidR="001D5B27">
        <w:rPr>
          <w:rFonts w:asciiTheme="minorHAnsi" w:hAnsiTheme="minorHAnsi" w:cstheme="minorBidi"/>
          <w:sz w:val="22"/>
          <w:szCs w:val="22"/>
        </w:rPr>
        <w:t>susceptibility</w:t>
      </w:r>
      <w:r w:rsidRPr="0124A3DB">
        <w:rPr>
          <w:rFonts w:asciiTheme="minorHAnsi" w:hAnsiTheme="minorHAnsi" w:cstheme="minorBidi"/>
          <w:sz w:val="22"/>
          <w:szCs w:val="22"/>
        </w:rPr>
        <w:t xml:space="preserve"> in endangered wildlife.</w:t>
      </w:r>
    </w:p>
    <w:p w14:paraId="3BD6F4A3" w14:textId="77777777" w:rsidR="00F73C6E" w:rsidRPr="00D16989" w:rsidRDefault="00F73C6E" w:rsidP="00547AFA">
      <w:pPr>
        <w:spacing w:line="480" w:lineRule="auto"/>
        <w:rPr>
          <w:rFonts w:asciiTheme="minorHAnsi" w:hAnsiTheme="minorHAnsi" w:cstheme="minorHAnsi"/>
          <w:b/>
          <w:bCs/>
          <w:sz w:val="22"/>
          <w:szCs w:val="22"/>
        </w:rPr>
      </w:pPr>
    </w:p>
    <w:p w14:paraId="34D385A5" w14:textId="5442E10D" w:rsidR="00922A23" w:rsidRPr="00D16989" w:rsidRDefault="00E9460C" w:rsidP="00547AFA">
      <w:pPr>
        <w:spacing w:line="480" w:lineRule="auto"/>
        <w:rPr>
          <w:rFonts w:asciiTheme="minorHAnsi" w:hAnsiTheme="minorHAnsi" w:cstheme="minorHAnsi"/>
          <w:b/>
          <w:bCs/>
          <w:sz w:val="22"/>
          <w:szCs w:val="22"/>
        </w:rPr>
      </w:pPr>
      <w:r>
        <w:rPr>
          <w:rFonts w:asciiTheme="minorHAnsi" w:hAnsiTheme="minorHAnsi" w:cstheme="minorHAnsi"/>
          <w:b/>
          <w:bCs/>
          <w:sz w:val="22"/>
          <w:szCs w:val="22"/>
        </w:rPr>
        <w:t>Introduction</w:t>
      </w:r>
    </w:p>
    <w:p w14:paraId="7DDEED79" w14:textId="3D82F3D0" w:rsidR="005B78EA" w:rsidRPr="00D16989" w:rsidRDefault="00A107BD" w:rsidP="00547AFA">
      <w:pPr>
        <w:spacing w:line="480" w:lineRule="auto"/>
        <w:rPr>
          <w:rFonts w:asciiTheme="minorHAnsi" w:hAnsiTheme="minorHAnsi" w:cstheme="minorHAnsi"/>
          <w:sz w:val="22"/>
          <w:szCs w:val="22"/>
        </w:rPr>
      </w:pPr>
      <w:r w:rsidRPr="00D16989">
        <w:rPr>
          <w:rFonts w:asciiTheme="minorHAnsi" w:hAnsiTheme="minorHAnsi" w:cstheme="minorHAnsi"/>
          <w:sz w:val="22"/>
          <w:szCs w:val="22"/>
        </w:rPr>
        <w:t xml:space="preserve">The amphibian chytrid fungus </w:t>
      </w:r>
      <w:r w:rsidRPr="00D16989">
        <w:rPr>
          <w:rFonts w:asciiTheme="minorHAnsi" w:hAnsiTheme="minorHAnsi" w:cstheme="minorHAnsi"/>
          <w:i/>
          <w:iCs/>
          <w:sz w:val="22"/>
          <w:szCs w:val="22"/>
        </w:rPr>
        <w:t>Batrachochytrium dendrobatidis</w:t>
      </w:r>
      <w:r w:rsidRPr="00D16989">
        <w:rPr>
          <w:rFonts w:asciiTheme="minorHAnsi" w:hAnsiTheme="minorHAnsi" w:cstheme="minorHAnsi"/>
          <w:sz w:val="22"/>
          <w:szCs w:val="22"/>
        </w:rPr>
        <w:t xml:space="preserve"> (Bd) is a </w:t>
      </w:r>
      <w:r w:rsidR="00204417" w:rsidRPr="00D16989">
        <w:rPr>
          <w:rFonts w:asciiTheme="minorHAnsi" w:hAnsiTheme="minorHAnsi" w:cstheme="minorHAnsi"/>
          <w:sz w:val="22"/>
          <w:szCs w:val="22"/>
        </w:rPr>
        <w:t xml:space="preserve">skin </w:t>
      </w:r>
      <w:r w:rsidRPr="00D16989">
        <w:rPr>
          <w:rFonts w:asciiTheme="minorHAnsi" w:hAnsiTheme="minorHAnsi" w:cstheme="minorHAnsi"/>
          <w:sz w:val="22"/>
          <w:szCs w:val="22"/>
        </w:rPr>
        <w:t xml:space="preserve">pathogen associated with the severe decline or disappearance of about 200 amphibian species, primarily in the neotropical genera </w:t>
      </w:r>
      <w:r w:rsidRPr="00D16989">
        <w:rPr>
          <w:rFonts w:asciiTheme="minorHAnsi" w:hAnsiTheme="minorHAnsi" w:cstheme="minorHAnsi"/>
          <w:i/>
          <w:iCs/>
          <w:sz w:val="22"/>
          <w:szCs w:val="22"/>
        </w:rPr>
        <w:t>Atelopus</w:t>
      </w:r>
      <w:r w:rsidRPr="00D16989">
        <w:rPr>
          <w:rFonts w:asciiTheme="minorHAnsi" w:hAnsiTheme="minorHAnsi" w:cstheme="minorHAnsi"/>
          <w:sz w:val="22"/>
          <w:szCs w:val="22"/>
        </w:rPr>
        <w:t xml:space="preserve">, </w:t>
      </w:r>
      <w:r w:rsidRPr="00D16989">
        <w:rPr>
          <w:rFonts w:asciiTheme="minorHAnsi" w:hAnsiTheme="minorHAnsi" w:cstheme="minorHAnsi"/>
          <w:i/>
          <w:iCs/>
          <w:sz w:val="22"/>
          <w:szCs w:val="22"/>
        </w:rPr>
        <w:t>Craugastor</w:t>
      </w:r>
      <w:r w:rsidRPr="00D16989">
        <w:rPr>
          <w:rFonts w:asciiTheme="minorHAnsi" w:hAnsiTheme="minorHAnsi" w:cstheme="minorHAnsi"/>
          <w:sz w:val="22"/>
          <w:szCs w:val="22"/>
        </w:rPr>
        <w:t xml:space="preserve">, and </w:t>
      </w:r>
      <w:r w:rsidRPr="00D16989">
        <w:rPr>
          <w:rFonts w:asciiTheme="minorHAnsi" w:hAnsiTheme="minorHAnsi" w:cstheme="minorHAnsi"/>
          <w:i/>
          <w:iCs/>
          <w:sz w:val="22"/>
          <w:szCs w:val="22"/>
        </w:rPr>
        <w:t xml:space="preserve">Telmatobius </w:t>
      </w:r>
      <w:r w:rsidRPr="00D16989">
        <w:rPr>
          <w:rFonts w:asciiTheme="minorHAnsi" w:hAnsiTheme="minorHAnsi" w:cstheme="minorHAnsi"/>
          <w:i/>
          <w:iCs/>
          <w:sz w:val="22"/>
          <w:szCs w:val="22"/>
        </w:rPr>
        <w:fldChar w:fldCharType="begin"/>
      </w:r>
      <w:r w:rsidR="006159DD">
        <w:rPr>
          <w:rFonts w:asciiTheme="minorHAnsi" w:hAnsiTheme="minorHAnsi" w:cstheme="minorHAnsi"/>
          <w:i/>
          <w:iCs/>
          <w:sz w:val="22"/>
          <w:szCs w:val="22"/>
        </w:rPr>
        <w:instrText xml:space="preserve"> ADDIN ZOTERO_ITEM CSL_CITATION {"citationID":"8sqLHGex","properties":{"formattedCitation":"(1)","plainCitation":"(1)","noteIndex":0},"citationItems":[{"id":20,"uris":["http://zotero.org/users/8183159/items/JYU6KTAN"],"itemData":{"id":20,"type":"article-journal","abstract":"The demise of amphibians?\nRapid spread of disease is a hazard in our interconnected world. The chytrid fungus Batrachochytrium dendrobatidis was identified in amphibian populations about 20 years ago and has caused death and species extinction at a global scale. Scheele et al. found that the fungus has caused declines in amphibian populations everywhere except at its origin in Asia (see the Perspective by Greenberg and Palen). A majority of species and populations are still experiencing decline, but there is evidence of limited recovery in some species. The analysis also suggests some conditions that predict resilience.\nScience, this issue p. 1459; see also p. 1386\nAnthropogenic trade and development have broken down dispersal barriers, facilitating the spread of diseases that threaten Earth’s biodiversity. We present a global, quantitative assessment of the amphibian chytridiomycosis panzootic, one of the most impactful examples of disease spread, and demonstrate its role in the decline of at least 501 amphibian species over the past half-century, including 90 presumed extinctions. The effects of chytridiomycosis have been greatest in large-bodied, range-restricted anurans in wet climates in the Americas and Australia. Declines peaked in the 1980s, and only 12% of declined species show signs of recovery, whereas 39% are experiencing ongoing decline. There is risk of further chytridiomycosis outbreaks in new areas. The chytridiomycosis panzootic represents the greatest recorded loss of biodiversity attributable to a disease.\nA quantitative assessment reveals the effects of chytridiomycosis on amphibian communities worldwide.\nA quantitative assessment reveals the effects of chytridiomycosis on amphibian communities worldwide.","container-title":"Science","DOI":"10.1126/science.aav0379","ISSN":"0036-8075, 1095-9203","issue":"6434","language":"en","license":"Copyright © 2019 The Authors, some rights reserved; exclusive licensee American Association for the Advancement of Science. No claim to original U.S. Government Works. http://www.sciencemag.org/about/science-licenses-journal-article-reuseThis is an article distributed under the terms of the Science Journals Default License.","page":"1459-1463","PMID":"30923224","publisher":"American Association for the Advancement of Science","section":"Report","source":"science.sciencemag.org","title":"Amphibian fungal panzootic causes catastrophic and ongoing loss of biodiversity","volume":"363","author":[{"family":"Scheele","given":"Ben C."},{"family":"Pasmans","given":"Frank"},{"family":"Skerratt","given":"Lee F."},{"family":"Berger","given":"Lee"},{"family":"Martel","given":"An"},{"family":"Beukema","given":"Wouter"},{"family":"Acevedo","given":"Aldemar A."},{"family":"Burrowes","given":"Patricia A."},{"family":"Carvalho","given":"Tamilie"},{"family":"Catenazzi","given":"Alessandro"},{"family":"Riva","given":"Ignacio De","dropping-particle":"la"},{"family":"Fisher","given":"Matthew C."},{"family":"Flechas","given":"Sandra V."},{"family":"Foster","given":"Claire N."},{"family":"Frías-Álvarez","given":"Patricia"},{"family":"Garner","given":"Trenton W. J."},{"family":"Gratwicke","given":"Brian"},{"family":"Guayasamin","given":"Juan M."},{"family":"Hirschfeld","given":"Mareike"},{"family":"Kolby","given":"Jonathan E."},{"family":"Kosch","given":"Tiffany A."},{"family":"Marca","given":"Enrique La"},{"family":"Lindenmayer","given":"David B."},{"family":"Lips","given":"Karen R."},{"family":"Longo","given":"Ana V."},{"family":"Maneyro","given":"Raúl"},{"family":"McDonald","given":"Cait A."},{"family":"Mendelson","given":"Joseph"},{"family":"Palacios-Rodriguez","given":"Pablo"},{"family":"Parra-Olea","given":"Gabriela"},{"family":"Richards-Zawacki","given":"Corinne L."},{"family":"Rödel","given":"Mark-Oliver"},{"family":"Rovito","given":"Sean M."},{"family":"Soto-Azat","given":"Claudio"},{"family":"Toledo","given":"Luís Felipe"},{"family":"Voyles","given":"Jamie"},{"family":"Weldon","given":"Ché"},{"family":"Whitfield","given":"Steven M."},{"family":"Wilkinson","given":"Mark"},{"family":"Zamudio","given":"Kelly R."},{"family":"Canessa","given":"Stefano"}],"issued":{"date-parts":[["2019",3,29]]}}}],"schema":"https://github.com/citation-style-language/schema/raw/master/csl-citation.json"} </w:instrText>
      </w:r>
      <w:r w:rsidRPr="00D16989">
        <w:rPr>
          <w:rFonts w:asciiTheme="minorHAnsi" w:hAnsiTheme="minorHAnsi" w:cstheme="minorHAnsi"/>
          <w:i/>
          <w:iCs/>
          <w:sz w:val="22"/>
          <w:szCs w:val="22"/>
        </w:rPr>
        <w:fldChar w:fldCharType="separate"/>
      </w:r>
      <w:r w:rsidR="00E87ABB">
        <w:rPr>
          <w:rFonts w:asciiTheme="minorHAnsi" w:hAnsiTheme="minorHAnsi" w:cstheme="minorHAnsi"/>
          <w:sz w:val="22"/>
          <w:szCs w:val="22"/>
        </w:rPr>
        <w:t>(1)</w:t>
      </w:r>
      <w:r w:rsidRPr="00D16989">
        <w:rPr>
          <w:rFonts w:asciiTheme="minorHAnsi" w:hAnsiTheme="minorHAnsi" w:cstheme="minorHAnsi"/>
          <w:i/>
          <w:iCs/>
          <w:sz w:val="22"/>
          <w:szCs w:val="22"/>
        </w:rPr>
        <w:fldChar w:fldCharType="end"/>
      </w:r>
      <w:r w:rsidRPr="00D16989">
        <w:rPr>
          <w:rFonts w:asciiTheme="minorHAnsi" w:hAnsiTheme="minorHAnsi" w:cstheme="minorHAnsi"/>
          <w:sz w:val="22"/>
          <w:szCs w:val="22"/>
        </w:rPr>
        <w:t xml:space="preserve">.  </w:t>
      </w:r>
      <w:r w:rsidR="005B78EA" w:rsidRPr="00D16989">
        <w:rPr>
          <w:rFonts w:asciiTheme="minorHAnsi" w:hAnsiTheme="minorHAnsi" w:cstheme="minorHAnsi"/>
          <w:sz w:val="22"/>
          <w:szCs w:val="22"/>
        </w:rPr>
        <w:t xml:space="preserve">Harlequin toads of the genus </w:t>
      </w:r>
      <w:r w:rsidR="005B78EA" w:rsidRPr="00D16989">
        <w:rPr>
          <w:rFonts w:asciiTheme="minorHAnsi" w:hAnsiTheme="minorHAnsi" w:cstheme="minorHAnsi"/>
          <w:i/>
          <w:iCs/>
          <w:sz w:val="22"/>
          <w:szCs w:val="22"/>
        </w:rPr>
        <w:t>Atelopus</w:t>
      </w:r>
      <w:r w:rsidR="005B78EA" w:rsidRPr="00D16989">
        <w:rPr>
          <w:rFonts w:asciiTheme="minorHAnsi" w:hAnsiTheme="minorHAnsi" w:cstheme="minorHAnsi"/>
          <w:sz w:val="22"/>
          <w:szCs w:val="22"/>
        </w:rPr>
        <w:t xml:space="preserve"> are particularly susceptible to Bd </w:t>
      </w:r>
      <w:r w:rsidR="00462ED4" w:rsidRPr="00D16989">
        <w:rPr>
          <w:rFonts w:asciiTheme="minorHAnsi" w:hAnsiTheme="minorHAnsi" w:cstheme="minorHAnsi"/>
          <w:sz w:val="22"/>
          <w:szCs w:val="22"/>
        </w:rPr>
        <w:fldChar w:fldCharType="begin"/>
      </w:r>
      <w:r w:rsidR="006159DD">
        <w:rPr>
          <w:rFonts w:asciiTheme="minorHAnsi" w:hAnsiTheme="minorHAnsi" w:cstheme="minorHAnsi"/>
          <w:sz w:val="22"/>
          <w:szCs w:val="22"/>
        </w:rPr>
        <w:instrText xml:space="preserve"> ADDIN ZOTERO_ITEM CSL_CITATION {"citationID":"YEwuSu1q","properties":{"formattedCitation":"(2\\uc0\\u8211{}5)","plainCitation":"(2–5)","noteIndex":0},"citationItems":[{"id":4781,"uris":["http://zotero.org/users/8183159/items/8VG2BFV2"],"itemData":{"id":4781,"type":"article-journal","abstract":"The emergence of the disease chytridiomycosis caused by the chytrid fungus Batrachochytrium dendrobatidis (Bd) has been implicated in dramatic global amphibian declines. While many species have undergone catastrophic declines and/or extinctions, others appear to be unaffected or persist at reduced frequencies after Bd outbreaks. The reasons behind this variance in disease outcomes are poorly understood: differences in host immune responses have been proposed, yet previous studies suggest a lack of robust immune responses to Bd in susceptible species. Here, we sequenced transcriptomes from clutch-mates of a highly susceptible amphibian, Atelopus zeteki, with different infection histories. We found significant changes in expression of numerous genes involved in innate and inflammatory responses in infected frogs, despite high susceptibility to chytridiomycosis. We show evidence of acquired immune responses generated against Bd, including increased expression of immunoglobulins and MHC genes. In addition, fungal-killing genes had significantly higher expression in frogs previously exposed to Bd compared to Bd-naïve frogs, including chitinase and serine-type proteases. However, our results appear to confirm recent in vitro evidence of immune suppression by Bd, demonstrated by decreased expression of lymphocyte genes in the spleen of infected compared to control frogs. We propose susceptibility to chytridiomycosis is not due to lack of Bd-specific immune responses, but instead is caused by failure of those responses to be effective. Ineffective immune pathway activation and timing of antibody production are discussed as potential mechanisms. However, in light of our findings, suppression of key immune responses by Bd is likely an important factor in the lethality of this fungus.","citation-key":"Ellison2014","container-title":"G3: Genes Genomes Genetics","DOI":"10.1534/g3.114.010744","ISSN":"2160-1836","issue":"July","note":"ISBN: 2160-1836","page":"1275-1289","PMID":"24841130","title":"Fighting a losing battle: Vigorous immune response countered by pathogen suppression of host defenses in the chytridiomycosis-susceptible frog &lt;i&gt; Atelopus zeteki &lt;/i&gt;","volume":"4","author":[{"family":"Ellison","given":"Amy R"},{"family":"Savage","given":"Anna E"},{"family":"DiRenzo","given":"Grace V"},{"family":"Langhammer","given":"Penny"},{"family":"Lips","given":"Karen R"},{"family":"Zamudio","given":"Kelly R"}],"issued":{"date-parts":[["2014"]]}}},{"id":4682,"uris":["http://zotero.org/users/8183159/items/4QGLSKZZ"],"itemData":{"id":4682,"type":"article-journal","citation-key":"McCaffery2015","container-title":"Global Ecology and Conservation","DOI":"10.1016/j.gecco.2015.07.003","ISSN":"23519894","page":"232-242","publisher":"Elsevier B.V.","title":"The demography of &lt;i&gt;Atelopus&lt;/i&gt; decline: Harlequin frog survival and abundance in central Panama prior to and during a disease outbreak","volume":"4","author":[{"family":"McCaffery","given":"Rebecca"},{"family":"Richards-Zawacki","given":"Corinne L."},{"family":"Lips","given":"Karen R."}],"issued":{"date-parts":[["2015"]]}}},{"id":5346,"uris":["http://zotero.org/users/8183159/items/XQ3UJGLR","http://zotero.org/users/8183159/items/TBPAWDB7"],"itemData":{"id":5346,"type":"article-journal","abstract":"Harlequin toads (Atelopus) are among the most severely impacted amphibians by the emergence of chytridiomycosis, a fungal disease caused by the pathogen Batrachochytrium dendrobatidis (Bd). Many species disappeared while others suffered drastic contractions of their geographic distribution to lower altitudes. A diminished virulence of Bd in warm habitats was proposed to explain the survival of lowland populations of harlequin toads (i.e. thermal refuge hypothesis). To understand the mechanisms that allow some populations to reach an endemic equilibrium with this pathogen, we estimated demographic and epidemiological parameters at one remnant population of Atelopus cruciger in Venezuela using mark-recapture data from 2007–2013. We demonstrated that Bd is highly virulent for A. cruciger, increasing the odds of dying of infected adults four times in relation to uninfected ones and reducing the life expectancy of reproductive toads to a few weeks. Despite an estimated annual loss of 18% of the reproductive population due to Bd-induced mortality, this population has persisted in an endemic equilibrium for the last decade through the large recruitment of healthy adults every year. Given the high vulnerability of harlequin toads to Bd in lowland populations, thermal refuges need to be redefined as habitats of reduced transmission rather than attenuated virulence.","citation-key":"Lampo2017","container-title":"PLOS ONE","DOI":"10.1371/journal.pone.0179007","ISSN":"1932-6203","issue":"6","page":"e0179007","publisher":"Public Library of Science","title":"Population dynamics of the critically endangered toad &lt;i&gt;Atelopus cruciger&lt;/i&gt; and the fungal disease chytridiomycosis","volume":"12","author":[{"family":"Lampo","given":"Margarita"},{"family":"Señaris","given":"Celsa"},{"family":"García","given":"Carmen Zulay"}],"editor":[{"family":"Gratwicke","given":"Brian"}],"issued":{"date-parts":[["2017",6,1]]}}},{"id":5872,"uris":["http://zotero.org/users/8183159/items/J6AGFHPW"],"itemData":{"id":5872,"type":"article-journal","abstract":"We designed two probiotic treatments to control chytridiomycosis caused by Batrachochytrium dendrobatidis (Bd) on infected Panamanian golden frogs (Atelopus zeteki), a species that is thought to be extinct in the wild due to Bd. The first approach disrupted the existing skin microbe community with antibiotics then exposed the frogs to a core golden frog skin microbe (Diaphorobacter sp.) that we genetically modified to produce high titers of violacein, a known antifungal compound. One day following probiotic treatment, the engineered Diaphorobacter and the violacein-producing pathway could be detected on the frogs but the treatment failed to improve frog survival when exposed to Bd. The second approach exposed frogs to the genetically modified bacterium mixed into a consortium with six other known anti-Bd bacteria isolated from captive A. zeteki, with no preliminary antibiotic treatment. The consortium treatment increased the frequency and abundance of three probiotic isolates (Janthinobacterium, Chryseobacterium, and Stenotrophomonas) and these persisted on the skin 4 weeks after probiotic treatment. There was a temporary increase in the frequency and abundance of three other probiotics isolates (Masillia, Serratia, and Pseudomonas) and the engineered Diaphorobacter isolate, but they subsequently disappeared from the skin. This treatment also failed to reduce frog mortality upon exposure.","citation-key":"Becker2021","container-title":"ISME Communications 2021 1:1","DOI":"10.1038/s43705-021-00044-w","ISSN":"2730-6151","issue":"1","page":"1-10","publisher":"Nature Publishing Group","title":"Genetically modifying skin microbe to produce violacein and augmenting microbiome did not defend Panamanian golden frogs from disease","volume":"1","author":[{"family":"Becker","given":"Matthew H."},{"family":"Brophy","given":"Jennifer A. N."},{"family":"Barrett","given":"Kevin"},{"family":"Bronikowski","given":"Ed"},{"family":"Evans","given":"Matthew"},{"family":"Glassey","given":"Emerson"},{"family":"Kaganer","given":"Alyssa W."},{"family":"Klocke","given":"Blake"},{"family":"Lassiter","given":"Elliot"},{"family":"Meyer","given":"Adam J."},{"family":"Muletz-Wolz","given":"Carly R."},{"family":"Fleischer","given":"Robert C."},{"family":"Voigt","given":"Christopher A."},{"family":"Gratwicke","given":"Brian"}],"issued":{"date-parts":[["2021",10,18]]}}}],"schema":"https://github.com/citation-style-language/schema/raw/master/csl-citation.json"} </w:instrText>
      </w:r>
      <w:r w:rsidR="00462ED4" w:rsidRPr="00D16989">
        <w:rPr>
          <w:rFonts w:asciiTheme="minorHAnsi" w:hAnsiTheme="minorHAnsi" w:cstheme="minorHAnsi"/>
          <w:sz w:val="22"/>
          <w:szCs w:val="22"/>
        </w:rPr>
        <w:fldChar w:fldCharType="separate"/>
      </w:r>
      <w:r w:rsidR="00E87ABB" w:rsidRPr="00E87ABB">
        <w:rPr>
          <w:rFonts w:ascii="Calibri" w:eastAsiaTheme="minorHAnsi" w:hAnsiTheme="minorHAnsi" w:cs="Calibri"/>
          <w:sz w:val="22"/>
        </w:rPr>
        <w:t>(2–5)</w:t>
      </w:r>
      <w:r w:rsidR="00462ED4" w:rsidRPr="00D16989">
        <w:rPr>
          <w:rFonts w:asciiTheme="minorHAnsi" w:hAnsiTheme="minorHAnsi" w:cstheme="minorHAnsi"/>
          <w:sz w:val="22"/>
          <w:szCs w:val="22"/>
        </w:rPr>
        <w:fldChar w:fldCharType="end"/>
      </w:r>
      <w:r w:rsidR="00462ED4" w:rsidRPr="00D16989">
        <w:rPr>
          <w:rFonts w:asciiTheme="minorHAnsi" w:hAnsiTheme="minorHAnsi" w:cstheme="minorHAnsi"/>
          <w:sz w:val="22"/>
          <w:szCs w:val="22"/>
        </w:rPr>
        <w:t xml:space="preserve"> </w:t>
      </w:r>
      <w:r w:rsidR="005B78EA" w:rsidRPr="00D16989">
        <w:rPr>
          <w:rFonts w:asciiTheme="minorHAnsi" w:hAnsiTheme="minorHAnsi" w:cstheme="minorHAnsi"/>
          <w:sz w:val="22"/>
          <w:szCs w:val="22"/>
        </w:rPr>
        <w:t xml:space="preserve">and </w:t>
      </w:r>
      <w:r w:rsidR="00133743" w:rsidRPr="00D16989">
        <w:rPr>
          <w:rFonts w:asciiTheme="minorHAnsi" w:hAnsiTheme="minorHAnsi" w:cstheme="minorHAnsi"/>
          <w:sz w:val="22"/>
          <w:szCs w:val="22"/>
        </w:rPr>
        <w:t xml:space="preserve">are among the most threatened genus of neotropical amphibians </w:t>
      </w:r>
      <w:r w:rsidR="00133743" w:rsidRPr="00D16989">
        <w:rPr>
          <w:rFonts w:asciiTheme="minorHAnsi" w:hAnsiTheme="minorHAnsi" w:cstheme="minorHAnsi"/>
          <w:sz w:val="22"/>
          <w:szCs w:val="22"/>
        </w:rPr>
        <w:fldChar w:fldCharType="begin"/>
      </w:r>
      <w:r w:rsidR="006159DD">
        <w:rPr>
          <w:rFonts w:asciiTheme="minorHAnsi" w:hAnsiTheme="minorHAnsi" w:cstheme="minorHAnsi"/>
          <w:sz w:val="22"/>
          <w:szCs w:val="22"/>
        </w:rPr>
        <w:instrText xml:space="preserve"> ADDIN ZOTERO_ITEM CSL_CITATION {"citationID":"1Nqf66KH","properties":{"formattedCitation":"(6)","plainCitation":"(6)","noteIndex":0},"citationItems":[{"id":12443,"uris":["http://zotero.org/users/8183159/items/RCTW4AT2"],"itemData":{"id":12443,"type":"article-journal","abstract":"Biodiversity loss is extreme in amphibians. Despite ongoing conservation action, it is difficult to determine where we stand in overcoming their extinction crisis. Among the most threatened amphibians are the 131 Neotropical harlequin toads. Many of them declined since the 1980s with several considered possibly extinct. Recently, more than 30 species have been rediscovered, raising hope for a reversing trend in the amphibian extinction crisis. We use past and present data available for harlequin toads (Atelopus), to examine whether the amphibian extinction crisis is still in an emergency state. Since 2004 no species has improved its population status, suggesting that recovery efforts have not been successful. Threats include habitat change, pathogen spread and climate change. More mitigation strategies need implementation, especially habitat protection and disease management, combined with captive conservation breeding. With harlequin toads serving as a model, it is clear that the amphibian extinction crisis is still underway.","container-title":"Communications Earth &amp; Environment","DOI":"10.1038/s43247-023-01069-w","ISSN":"2662-4435","issue":"1","journalAbbreviation":"Commun Earth Environ","language":"en","license":"2023 The Author(s)","page":"1-8","publisher":"Nature Publishing Group","source":"www.nature.com","title":"Ongoing harlequin toad declines suggest the amphibian extinction crisis is still an emergency","volume":"4","author":[{"family":"Lötters","given":"Stefan"},{"family":"Plewnia","given":"Amadeus"},{"family":"Catenazzi","given":"Alessandro"},{"family":"Neam","given":"Kelsey"},{"family":"Acosta-Galvis","given":"Andrés R."},{"family":"Alarcon Vela","given":"Yesenia"},{"family":"Allen","given":"Joshua P."},{"family":"Alfaro Segundo","given":"Juan O."},{"family":"Lourdes Almendáriz Cabezas","given":"Ana","non-dropping-particle":"de"},{"family":"Alvarado Barboza","given":"Gilbert"},{"family":"Alves-Silva","given":"Kleiton R."},{"family":"Anganoy-Criollo","given":"Marvin"},{"family":"Arbeláez Ortiz","given":"Ernesto"},{"family":"Arpi Lojano","given":"Jackeline D."},{"family":"Arteaga","given":"Alejandro"},{"family":"Ballestas","given":"Onil"},{"family":"Barrera Moscoso","given":"Diego"},{"family":"Barros-Castañeda","given":"José D."},{"family":"Batista","given":"Abel"},{"family":"Bernal","given":"Manuel H."},{"family":"Betancourt","given":"Esteban"},{"family":"Cunha Bitar","given":"Youszef Oliveira","non-dropping-particle":"da"},{"family":"Böning","given":"Philipp"},{"family":"Bravo-Valencia","given":"Laura"},{"family":"Cáceres Andrade","given":"José F."},{"family":"Cadenas","given":"Diego"},{"family":"Chaparro Auza","given":"Juan Carlos"},{"family":"Chaves-Portilla","given":"Giovanni A."},{"family":"Chávez","given":"Germán"},{"family":"Coloma","given":"Luis A."},{"family":"Cortez-Fernandez","given":"Claudia F."},{"family":"Courtois","given":"Elodie A."},{"family":"Culebras","given":"Jaime"},{"family":"De la Riva","given":"Ignacio"},{"family":"Diaz","given":"Vladimir"},{"family":"Elizondo Lara","given":"Luis C."},{"family":"Ernst","given":"Raffael"},{"family":"Flechas","given":"Sandra V."},{"family":"Foch","given":"Thibaut"},{"family":"Fouquet","given":"Antoine"},{"family":"García Méndez","given":"Carmen Z."},{"family":"García-Pérez","given":"Juan Elias"},{"family":"Gómez-Hoyos","given":"Diego A."},{"family":"Gomides","given":"Samuel C."},{"family":"Guerrel","given":"Jorge"},{"family":"Gratwicke","given":"Brian"},{"family":"Guayasamin","given":"Juan M."},{"family":"Griffith","given":"Edgardo"},{"family":"Herrera-Alva","given":"Valia"},{"family":"Ibáñez","given":"Roberto"},{"family":"Idrovo","given":"Carlos Iván"},{"family":"Jiménez Monge","given":"Andrés"},{"family":"Jorge","given":"Rafael F."},{"family":"Jung","given":"Alisha"},{"family":"Klocke","given":"Blake"},{"family":"Lampo","given":"Margarita"},{"family":"Lehr","given":"Edgar"},{"family":"Lewis","given":"Carrie H. R."},{"family":"Lindquist","given":"Erik D."},{"family":"López-Perilla","given":"Yeny R."},{"family":"Mazepa","given":"Glib"},{"family":"Medina-Rangel","given":"Guido F."},{"family":"Merino Viteri","given":"Andrés"},{"family":"Mulder","given":"Kevin"},{"family":"Pacheco-Suarez","given":"Mauricio"},{"family":"Pereira-Muñoz","given":"Andry"},{"family":"Pérez-González","given":"José Luis"},{"family":"Pinto Erazo","given":"Maria Alejandra"},{"family":"Pisso Florez","given":"Adolfo Gustavo"},{"family":"Ponce","given":"Marcos"},{"family":"Poole","given":"Vicky"},{"family":"Quezada Riera","given":"Amanda B."},{"family":"Quiroz","given":"Aarón J."},{"family":"Quiroz-Espinoza","given":"Michelle"},{"family":"Ramírez Guerra","given":"Alejandro"},{"family":"Ramírez","given":"Juan P."},{"family":"Reichle","given":"Steffen"},{"family":"Reizine","given":"Hugo"},{"family":"Rivera-Correa","given":"Mauricio"},{"family":"Roca-Rey Ross","given":"Bernardo"},{"family":"Rocha-Usuga","given":"Andrés"},{"family":"Rodrigues","given":"Miguel Trefaut"},{"family":"Rojas Montaño","given":"Sintana"},{"family":"Rößler","given":"Daniela C."},{"family":"Rueda Solano","given":"Luis Alberto"},{"family":"Señaris","given":"Celsa"},{"family":"Shepack","given":"Alexander"},{"family":"Siavichay Pesántez","given":"Fausto R."},{"family":"Sorokin","given":"Anton"},{"family":"Terán-Valdez","given":"Andrea"},{"family":"Torres-Ccasani","given":"Grecia"},{"family":"Tovar-Siso","given":"Pablo C."},{"family":"Valencia","given":"Lina M."},{"family":"Velásquez-Trujillo","given":"David A."},{"family":"Veith","given":"Michael"},{"family":"Venegas","given":"Pablo J."},{"family":"Villalba-Fuentes","given":"Jeferson"},{"family":"May","given":"Rudolf","non-dropping-particle":"von"},{"family":"Webster Bernal","given":"Juan F."},{"family":"La Marca","given":"Enrique"}],"issued":{"date-parts":[["2023",11,11]]}}}],"schema":"https://github.com/citation-style-language/schema/raw/master/csl-citation.json"} </w:instrText>
      </w:r>
      <w:r w:rsidR="00133743" w:rsidRPr="00D16989">
        <w:rPr>
          <w:rFonts w:asciiTheme="minorHAnsi" w:hAnsiTheme="minorHAnsi" w:cstheme="minorHAnsi"/>
          <w:sz w:val="22"/>
          <w:szCs w:val="22"/>
        </w:rPr>
        <w:fldChar w:fldCharType="separate"/>
      </w:r>
      <w:r w:rsidR="00E87ABB">
        <w:rPr>
          <w:rFonts w:asciiTheme="minorHAnsi" w:eastAsiaTheme="minorHAnsi" w:hAnsiTheme="minorHAnsi" w:cstheme="minorHAnsi"/>
          <w:sz w:val="22"/>
          <w:szCs w:val="22"/>
        </w:rPr>
        <w:t>(6)</w:t>
      </w:r>
      <w:r w:rsidR="00133743" w:rsidRPr="00D16989">
        <w:rPr>
          <w:rFonts w:asciiTheme="minorHAnsi" w:hAnsiTheme="minorHAnsi" w:cstheme="minorHAnsi"/>
          <w:sz w:val="22"/>
          <w:szCs w:val="22"/>
        </w:rPr>
        <w:fldChar w:fldCharType="end"/>
      </w:r>
      <w:r w:rsidR="00C91241">
        <w:rPr>
          <w:rFonts w:asciiTheme="minorHAnsi" w:hAnsiTheme="minorHAnsi" w:cstheme="minorHAnsi"/>
          <w:sz w:val="22"/>
          <w:szCs w:val="22"/>
        </w:rPr>
        <w:t>, with 93</w:t>
      </w:r>
      <w:r w:rsidR="00E32747">
        <w:rPr>
          <w:rFonts w:asciiTheme="minorHAnsi" w:hAnsiTheme="minorHAnsi" w:cstheme="minorHAnsi"/>
          <w:sz w:val="22"/>
          <w:szCs w:val="22"/>
        </w:rPr>
        <w:t xml:space="preserve"> </w:t>
      </w:r>
      <w:r w:rsidR="00C91241">
        <w:rPr>
          <w:rFonts w:asciiTheme="minorHAnsi" w:hAnsiTheme="minorHAnsi" w:cstheme="minorHAnsi"/>
          <w:sz w:val="22"/>
          <w:szCs w:val="22"/>
        </w:rPr>
        <w:t xml:space="preserve">% of them at risk of extinction </w:t>
      </w:r>
      <w:r w:rsidR="00C91241">
        <w:rPr>
          <w:rFonts w:asciiTheme="minorHAnsi" w:hAnsiTheme="minorHAnsi" w:cstheme="minorHAnsi"/>
          <w:sz w:val="22"/>
          <w:szCs w:val="22"/>
        </w:rPr>
        <w:fldChar w:fldCharType="begin"/>
      </w:r>
      <w:r w:rsidR="00C91241">
        <w:rPr>
          <w:rFonts w:asciiTheme="minorHAnsi" w:hAnsiTheme="minorHAnsi" w:cstheme="minorHAnsi"/>
          <w:sz w:val="22"/>
          <w:szCs w:val="22"/>
        </w:rPr>
        <w:instrText xml:space="preserve"> ADDIN ZOTERO_ITEM CSL_CITATION {"citationID":"pMhv8Y8l","properties":{"formattedCitation":"(7)","plainCitation":"(7)","noteIndex":0},"citationItems":[{"id":19607,"uris":["http://zotero.org/users/8183159/items/9QUPTKY9"],"itemData":{"id":19607,"type":"document","publisher":"Re:Wild","URL":"https://www.iucn-amphibians.org/wp-content/uploads/sites/4/2023/10/SOTWA-final-10.4.23.pdf","author":[{"family":"Re:wild","given":""},{"family":"Synchronicity Earth","given":""},{"family":"IUCN SSC Amphibian Specialist Group","given":""}],"issued":{"date-parts":[["2023"]]}}}],"schema":"https://github.com/citation-style-language/schema/raw/master/csl-citation.json"} </w:instrText>
      </w:r>
      <w:r w:rsidR="00C91241">
        <w:rPr>
          <w:rFonts w:asciiTheme="minorHAnsi" w:hAnsiTheme="minorHAnsi" w:cstheme="minorHAnsi"/>
          <w:sz w:val="22"/>
          <w:szCs w:val="22"/>
        </w:rPr>
        <w:fldChar w:fldCharType="separate"/>
      </w:r>
      <w:r w:rsidR="00C91241">
        <w:rPr>
          <w:rFonts w:asciiTheme="minorHAnsi" w:hAnsiTheme="minorHAnsi" w:cstheme="minorHAnsi"/>
          <w:noProof/>
          <w:sz w:val="22"/>
          <w:szCs w:val="22"/>
        </w:rPr>
        <w:t>(7)</w:t>
      </w:r>
      <w:r w:rsidR="00C91241">
        <w:rPr>
          <w:rFonts w:asciiTheme="minorHAnsi" w:hAnsiTheme="minorHAnsi" w:cstheme="minorHAnsi"/>
          <w:sz w:val="22"/>
          <w:szCs w:val="22"/>
        </w:rPr>
        <w:fldChar w:fldCharType="end"/>
      </w:r>
      <w:r w:rsidR="00462ED4" w:rsidRPr="00D16989">
        <w:rPr>
          <w:rFonts w:asciiTheme="minorHAnsi" w:hAnsiTheme="minorHAnsi" w:cstheme="minorHAnsi"/>
          <w:sz w:val="22"/>
          <w:szCs w:val="22"/>
        </w:rPr>
        <w:t xml:space="preserve">. </w:t>
      </w:r>
      <w:r w:rsidR="009F5513" w:rsidRPr="00D16989">
        <w:rPr>
          <w:rFonts w:asciiTheme="minorHAnsi" w:hAnsiTheme="minorHAnsi" w:cstheme="minorHAnsi"/>
          <w:sz w:val="22"/>
          <w:szCs w:val="22"/>
        </w:rPr>
        <w:t xml:space="preserve">Captive assurance colonies of endangered </w:t>
      </w:r>
      <w:r w:rsidR="009F5513" w:rsidRPr="00D16989">
        <w:rPr>
          <w:rFonts w:asciiTheme="minorHAnsi" w:hAnsiTheme="minorHAnsi" w:cstheme="minorHAnsi"/>
          <w:i/>
          <w:iCs/>
          <w:sz w:val="22"/>
          <w:szCs w:val="22"/>
        </w:rPr>
        <w:t>Atelopus</w:t>
      </w:r>
      <w:r w:rsidR="009F5513" w:rsidRPr="00D16989">
        <w:rPr>
          <w:rFonts w:asciiTheme="minorHAnsi" w:hAnsiTheme="minorHAnsi" w:cstheme="minorHAnsi"/>
          <w:sz w:val="22"/>
          <w:szCs w:val="22"/>
        </w:rPr>
        <w:t xml:space="preserve"> have been created to </w:t>
      </w:r>
      <w:r w:rsidR="00204417" w:rsidRPr="00D16989">
        <w:rPr>
          <w:rFonts w:asciiTheme="minorHAnsi" w:hAnsiTheme="minorHAnsi" w:cstheme="minorHAnsi"/>
          <w:sz w:val="22"/>
          <w:szCs w:val="22"/>
        </w:rPr>
        <w:t>provide</w:t>
      </w:r>
      <w:r w:rsidR="009F5513" w:rsidRPr="00D16989">
        <w:rPr>
          <w:rFonts w:asciiTheme="minorHAnsi" w:hAnsiTheme="minorHAnsi" w:cstheme="minorHAnsi"/>
          <w:sz w:val="22"/>
          <w:szCs w:val="22"/>
        </w:rPr>
        <w:t xml:space="preserve"> us time to develop tools that will mitigate </w:t>
      </w:r>
      <w:r w:rsidR="00741014" w:rsidRPr="00D16989">
        <w:rPr>
          <w:rFonts w:asciiTheme="minorHAnsi" w:hAnsiTheme="minorHAnsi" w:cstheme="minorHAnsi"/>
          <w:sz w:val="22"/>
          <w:szCs w:val="22"/>
        </w:rPr>
        <w:t xml:space="preserve">disease </w:t>
      </w:r>
      <w:r w:rsidR="009F5513" w:rsidRPr="00D16989">
        <w:rPr>
          <w:rFonts w:asciiTheme="minorHAnsi" w:hAnsiTheme="minorHAnsi" w:cstheme="minorHAnsi"/>
          <w:sz w:val="22"/>
          <w:szCs w:val="22"/>
        </w:rPr>
        <w:t xml:space="preserve">threats </w:t>
      </w:r>
      <w:r w:rsidR="00741014" w:rsidRPr="00D16989">
        <w:rPr>
          <w:rFonts w:asciiTheme="minorHAnsi" w:hAnsiTheme="minorHAnsi" w:cstheme="minorHAnsi"/>
          <w:sz w:val="22"/>
          <w:szCs w:val="22"/>
        </w:rPr>
        <w:t>in the wild</w:t>
      </w:r>
      <w:r w:rsidR="009F5513" w:rsidRPr="00D16989">
        <w:rPr>
          <w:rFonts w:asciiTheme="minorHAnsi" w:hAnsiTheme="minorHAnsi" w:cstheme="minorHAnsi"/>
          <w:sz w:val="22"/>
          <w:szCs w:val="22"/>
        </w:rPr>
        <w:t xml:space="preserve"> </w:t>
      </w:r>
      <w:r w:rsidR="00446C44" w:rsidRPr="00D16989">
        <w:rPr>
          <w:rFonts w:asciiTheme="minorHAnsi" w:hAnsiTheme="minorHAnsi" w:cstheme="minorHAnsi"/>
          <w:sz w:val="22"/>
          <w:szCs w:val="22"/>
        </w:rPr>
        <w:fldChar w:fldCharType="begin"/>
      </w:r>
      <w:r w:rsidR="006159DD">
        <w:rPr>
          <w:rFonts w:asciiTheme="minorHAnsi" w:hAnsiTheme="minorHAnsi" w:cstheme="minorHAnsi"/>
          <w:sz w:val="22"/>
          <w:szCs w:val="22"/>
        </w:rPr>
        <w:instrText xml:space="preserve"> ADDIN ZOTERO_ITEM CSL_CITATION {"citationID":"TbowQrkQ","properties":{"formattedCitation":"(6,8)","plainCitation":"(6,8)","noteIndex":0},"citationItems":[{"id":364,"uris":["http://zotero.org/users/8183159/items/8ZYPQKP3"],"itemData":{"id":364,"type":"article-journal","abstract":"Captive breeding programs are a valuable conservation strategy, particularly when integrated with research goals. Panamanian Harlequin frogs (genus Atelopus) serve as a case study for integrating captive breeding and research goals because they have experienced drastic chytridiomycosis-related declines and have large captive populations. Captive breeding efforts in Panama and the United States established secure ex-situ populations of Atelopus certus, A. glyphus, A. limosus, A. varius, and A. zeteki. Atelopus chiriquiensis is presumed to be extinct with no captive populations. The status of one undescribed species, Atelopus aff. limosus, has not been evaluated and no secure captive population has yet been established. Captive breeding efforts that produce a surplus of Atelopus are an important resource for research into collections management, disease mitigation, and adaptive management approaches for Atelopus reintroduction efforts. We reevaluated all Panamanian Atelopus species through the IUCN Redlist and compiled occurrence records for Panamanian Atelopus species to create a historical distribution map. We model Atelopus habitat suitability using Maxent and found annual mean air temperature to be the best predictor of Atelopus occurrence. The model will improve our knowledge of their likely spatial distribution and guide future conservation and reintroduction efforts. The recent proliferation of molecular tools, climate models, bio-banking, and reproductive technologies position us to address multiple applied and basic evolutionary questions such as: What factors cause differential disease outcomes? Do persisting populations have heritable traits associated with improved survivorship? Are there climatic refugia from disease? Ultimately, the answers to these questions will help us develop applied solutions and facilitate the reestablishment of self-sustaining wild populations.","container-title":"Biological Conservation","DOI":"10.1016/j.biocon.2019.05.029","ISSN":"0006-3207","journalAbbreviation":"Biological Conservation","language":"en","page":"180-187","source":"ScienceDirect","title":"Conserving Panamanian harlequin frogs by integrating captive-breeding and research programs","volume":"236","author":[{"family":"Lewis","given":"Carrie H. R."},{"family":"Richards-Zawacki","given":"Corinne L."},{"family":"Ibáñez","given":"Roberto"},{"family":"Luedtke","given":"Jennifer"},{"family":"Voyles","given":"Jamie"},{"family":"Houser","given":"Paul"},{"family":"Gratwicke","given":"Brian"}],"issued":{"date-parts":[["2019",8,1]]}}},{"id":12443,"uris":["http://zotero.org/users/8183159/items/RCTW4AT2"],"itemData":{"id":12443,"type":"article-journal","abstract":"Biodiversity loss is extreme in amphibians. Despite ongoing conservation action, it is difficult to determine where we stand in overcoming their extinction crisis. Among the most threatened amphibians are the 131 Neotropical harlequin toads. Many of them declined since the 1980s with several considered possibly extinct. Recently, more than 30 species have been rediscovered, raising hope for a reversing trend in the amphibian extinction crisis. We use past and present data available for harlequin toads (Atelopus), to examine whether the amphibian extinction crisis is still in an emergency state. Since 2004 no species has improved its population status, suggesting that recovery efforts have not been successful. Threats include habitat change, pathogen spread and climate change. More mitigation strategies need implementation, especially habitat protection and disease management, combined with captive conservation breeding. With harlequin toads serving as a model, it is clear that the amphibian extinction crisis is still underway.","container-title":"Communications Earth &amp; Environment","DOI":"10.1038/s43247-023-01069-w","ISSN":"2662-4435","issue":"1","journalAbbreviation":"Commun Earth Environ","language":"en","license":"2023 The Author(s)","page":"1-8","publisher":"Nature Publishing Group","source":"www.nature.com","title":"Ongoing harlequin toad declines suggest the amphibian extinction crisis is still an emergency","volume":"4","author":[{"family":"Lötters","given":"Stefan"},{"family":"Plewnia","given":"Amadeus"},{"family":"Catenazzi","given":"Alessandro"},{"family":"Neam","given":"Kelsey"},{"family":"Acosta-Galvis","given":"Andrés R."},{"family":"Alarcon Vela","given":"Yesenia"},{"family":"Allen","given":"Joshua P."},{"family":"Alfaro Segundo","given":"Juan O."},{"family":"Lourdes Almendáriz Cabezas","given":"Ana","non-dropping-particle":"de"},{"family":"Alvarado Barboza","given":"Gilbert"},{"family":"Alves-Silva","given":"Kleiton R."},{"family":"Anganoy-Criollo","given":"Marvin"},{"family":"Arbeláez Ortiz","given":"Ernesto"},{"family":"Arpi Lojano","given":"Jackeline D."},{"family":"Arteaga","given":"Alejandro"},{"family":"Ballestas","given":"Onil"},{"family":"Barrera Moscoso","given":"Diego"},{"family":"Barros-Castañeda","given":"José D."},{"family":"Batista","given":"Abel"},{"family":"Bernal","given":"Manuel H."},{"family":"Betancourt","given":"Esteban"},{"family":"Cunha Bitar","given":"Youszef Oliveira","non-dropping-particle":"da"},{"family":"Böning","given":"Philipp"},{"family":"Bravo-Valencia","given":"Laura"},{"family":"Cáceres Andrade","given":"José F."},{"family":"Cadenas","given":"Diego"},{"family":"Chaparro Auza","given":"Juan Carlos"},{"family":"Chaves-Portilla","given":"Giovanni A."},{"family":"Chávez","given":"Germán"},{"family":"Coloma","given":"Luis A."},{"family":"Cortez-Fernandez","given":"Claudia F."},{"family":"Courtois","given":"Elodie A."},{"family":"Culebras","given":"Jaime"},{"family":"De la Riva","given":"Ignacio"},{"family":"Diaz","given":"Vladimir"},{"family":"Elizondo Lara","given":"Luis C."},{"family":"Ernst","given":"Raffael"},{"family":"Flechas","given":"Sandra V."},{"family":"Foch","given":"Thibaut"},{"family":"Fouquet","given":"Antoine"},{"family":"García Méndez","given":"Carmen Z."},{"family":"García-Pérez","given":"Juan Elias"},{"family":"Gómez-Hoyos","given":"Diego A."},{"family":"Gomides","given":"Samuel C."},{"family":"Guerrel","given":"Jorge"},{"family":"Gratwicke","given":"Brian"},{"family":"Guayasamin","given":"Juan M."},{"family":"Griffith","given":"Edgardo"},{"family":"Herrera-Alva","given":"Valia"},{"family":"Ibáñez","given":"Roberto"},{"family":"Idrovo","given":"Carlos Iván"},{"family":"Jiménez Monge","given":"Andrés"},{"family":"Jorge","given":"Rafael F."},{"family":"Jung","given":"Alisha"},{"family":"Klocke","given":"Blake"},{"family":"Lampo","given":"Margarita"},{"family":"Lehr","given":"Edgar"},{"family":"Lewis","given":"Carrie H. R."},{"family":"Lindquist","given":"Erik D."},{"family":"López-Perilla","given":"Yeny R."},{"family":"Mazepa","given":"Glib"},{"family":"Medina-Rangel","given":"Guido F."},{"family":"Merino Viteri","given":"Andrés"},{"family":"Mulder","given":"Kevin"},{"family":"Pacheco-Suarez","given":"Mauricio"},{"family":"Pereira-Muñoz","given":"Andry"},{"family":"Pérez-González","given":"José Luis"},{"family":"Pinto Erazo","given":"Maria Alejandra"},{"family":"Pisso Florez","given":"Adolfo Gustavo"},{"family":"Ponce","given":"Marcos"},{"family":"Poole","given":"Vicky"},{"family":"Quezada Riera","given":"Amanda B."},{"family":"Quiroz","given":"Aarón J."},{"family":"Quiroz-Espinoza","given":"Michelle"},{"family":"Ramírez Guerra","given":"Alejandro"},{"family":"Ramírez","given":"Juan P."},{"family":"Reichle","given":"Steffen"},{"family":"Reizine","given":"Hugo"},{"family":"Rivera-Correa","given":"Mauricio"},{"family":"Roca-Rey Ross","given":"Bernardo"},{"family":"Rocha-Usuga","given":"Andrés"},{"family":"Rodrigues","given":"Miguel Trefaut"},{"family":"Rojas Montaño","given":"Sintana"},{"family":"Rößler","given":"Daniela C."},{"family":"Rueda Solano","given":"Luis Alberto"},{"family":"Señaris","given":"Celsa"},{"family":"Shepack","given":"Alexander"},{"family":"Siavichay Pesántez","given":"Fausto R."},{"family":"Sorokin","given":"Anton"},{"family":"Terán-Valdez","given":"Andrea"},{"family":"Torres-Ccasani","given":"Grecia"},{"family":"Tovar-Siso","given":"Pablo C."},{"family":"Valencia","given":"Lina M."},{"family":"Velásquez-Trujillo","given":"David A."},{"family":"Veith","given":"Michael"},{"family":"Venegas","given":"Pablo J."},{"family":"Villalba-Fuentes","given":"Jeferson"},{"family":"May","given":"Rudolf","non-dropping-particle":"von"},{"family":"Webster Bernal","given":"Juan F."},{"family":"La Marca","given":"Enrique"}],"issued":{"date-parts":[["2023",11,11]]}}}],"schema":"https://github.com/citation-style-language/schema/raw/master/csl-citation.json"} </w:instrText>
      </w:r>
      <w:r w:rsidR="00446C44" w:rsidRPr="00D16989">
        <w:rPr>
          <w:rFonts w:asciiTheme="minorHAnsi" w:hAnsiTheme="minorHAnsi" w:cstheme="minorHAnsi"/>
          <w:sz w:val="22"/>
          <w:szCs w:val="22"/>
        </w:rPr>
        <w:fldChar w:fldCharType="separate"/>
      </w:r>
      <w:r w:rsidR="00C91241">
        <w:rPr>
          <w:rFonts w:asciiTheme="minorHAnsi" w:eastAsiaTheme="minorHAnsi" w:hAnsiTheme="minorHAnsi" w:cstheme="minorHAnsi"/>
          <w:sz w:val="22"/>
          <w:szCs w:val="22"/>
        </w:rPr>
        <w:t>(6,8)</w:t>
      </w:r>
      <w:r w:rsidR="00446C44" w:rsidRPr="00D16989">
        <w:rPr>
          <w:rFonts w:asciiTheme="minorHAnsi" w:hAnsiTheme="minorHAnsi" w:cstheme="minorHAnsi"/>
          <w:sz w:val="22"/>
          <w:szCs w:val="22"/>
        </w:rPr>
        <w:fldChar w:fldCharType="end"/>
      </w:r>
      <w:r w:rsidR="00446C44" w:rsidRPr="00D16989">
        <w:rPr>
          <w:rFonts w:asciiTheme="minorHAnsi" w:hAnsiTheme="minorHAnsi" w:cstheme="minorHAnsi"/>
          <w:sz w:val="22"/>
          <w:szCs w:val="22"/>
        </w:rPr>
        <w:t xml:space="preserve">. </w:t>
      </w:r>
    </w:p>
    <w:p w14:paraId="79CA6CA1" w14:textId="77777777" w:rsidR="0028254D" w:rsidRPr="00D16989" w:rsidRDefault="0028254D" w:rsidP="00547AFA">
      <w:pPr>
        <w:spacing w:line="480" w:lineRule="auto"/>
        <w:rPr>
          <w:rFonts w:asciiTheme="minorHAnsi" w:hAnsiTheme="minorHAnsi" w:cstheme="minorHAnsi"/>
          <w:sz w:val="22"/>
          <w:szCs w:val="22"/>
        </w:rPr>
      </w:pPr>
    </w:p>
    <w:p w14:paraId="1385FD2C" w14:textId="4D74F817" w:rsidR="00E811F1" w:rsidRPr="00D16989" w:rsidRDefault="552FBC60" w:rsidP="552FBC60">
      <w:pPr>
        <w:spacing w:line="480" w:lineRule="auto"/>
        <w:rPr>
          <w:rFonts w:asciiTheme="minorHAnsi" w:hAnsiTheme="minorHAnsi" w:cstheme="minorBidi"/>
          <w:sz w:val="22"/>
          <w:szCs w:val="22"/>
        </w:rPr>
      </w:pPr>
      <w:r w:rsidRPr="552FBC60">
        <w:rPr>
          <w:rFonts w:asciiTheme="minorHAnsi" w:hAnsiTheme="minorHAnsi" w:cstheme="minorBidi"/>
          <w:sz w:val="22"/>
          <w:szCs w:val="22"/>
        </w:rPr>
        <w:t xml:space="preserve">Amphibians vary widely in their susceptibility to the amphibian chytrid fungus due to a variety of immune and microbiome characteristics </w:t>
      </w:r>
      <w:r w:rsidR="00741014" w:rsidRPr="552FBC60">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{"citationID":"4v4SJdBH","properties":{"formattedCitation":"(9\\uc0\\u8211{}11)","plainCitation":"(9–11)","noteIndex":0},"citationItems":[{"id":225,"uris":["http://zotero.org/users/8183159/items/Y7XNPKWL"],"itemData":{"id":225,"type":"article-journal","abstract":"The fungal skin disease, chytridiomycosis (caused by Batrachochytrium dendrobatidis and B. salamandrivorans), has caused amphibian declines and extinctions globally since its emergence. Characterizing the host immune response to chytridiomycosis has been a focus of study with the aim of disease mitigation. However, many aspects of the innate and adaptive arms of this response are still poorly understood, likely due to the wide range of species’ responses to infection. In this paper we provide an overview of expected immunological responses (with inference based on amphibian and mammalian immunology), together with a synthesis of current knowledge about these responses for the amphibian-chytridiomycosis system. We structure our review around four key immune stages: (1) the naïve immunocompetent state, (2) immune defenses that are always present (constitutive defenses), (3) mechanisms for recognition of a pathogen threat and innate immune defenses, and (4) adaptive immune responses. We also evaluate the current hot topics of immunosuppression and immunopathology in chytridiomycosis, and discuss their respective roles in pathogenesis. Our synthesis reveals that susceptibility to chytridiomycosis is likely to be multifactorial. Susceptible amphibians appear to have ineffective constitutive and innate defenses, and a late-stage response characterized by immunopathology and Bd-induced suppression of lymphocyte responses. Overall, we identify substantial gaps in current knowledge, particularly concerning the entire innate immune response (mechanisms of initial pathogen detection and possible immunoevasion by Bd, degree of activation and efficacy of the innate immune response, the unexpected absence of innate leukocyte infiltration, and the cause and role of late-stage immunopathology in pathogenesis). There are also gaps concerning most of the adaptive immune system (the relative importance of B and T cell responses for pathogen clearance, the capacity and extent of immunological memory, and specific mechanisms of pathogen-induced immunosuppression). Improving our capacity for amphibian immunological research will require selection of an appropriate Bd-susceptible model species, the development of taxon-specific affinity reagents and cell lines for functional assays, and the application of a suite of conventional and emerging immunological methods. Despite current knowledge gaps, immunological research remains a promising avenue for amphibian conservation management.","container-title":"Frontiers in Immunology","DOI":"10.3389/fimmu.2018.02536","ISSN":"1664-3224","journalAbbreviation":"Front. Immunol.","language":"English","publisher":"Frontiers","source":"Frontiers","title":"Review of the Amphibian Immune Response to Chytridiomycosis, and Future Directions","URL":"https://www.frontiersin.org/articles/10.3389/fimmu.2018.02536/full","volume":"9","author":[{"family":"Grogan","given":"Laura F."},{"family":"Robert","given":"Jacques"},{"family":"Berger","given":"Lee"},{"family":"Skerratt","given":"Lee F."},{"family":"Scheele","given":"Benjamin C."},{"family":"Castley","given":"J. Guy"},{"family":"Newell","given":"David A."},{"family":"McCallum","given":"Hamish I."}],"accessed":{"date-parts":[["2020",11,20]]},"issued":{"date-parts":[["2018"]]}}},{"id":5721,"uris":["http://zotero.org/users/8183159/items/SFJP47Q2"],"itemData":{"id":5721,"type":"article-journal","abstract":"In the approximately 30 years since the recognition of the crisis of global amphibian declines, much has been learned about the likely causes. Among the leading causes are several amphibian diseases including the disease termed chytridiomycosis caused by the chytrid fungi Batrachochytrium dendrobatidis (Bd) and Batrachochytrium salamandrivorans (Bsal). Here, I briefly review the fundamentals of amphibian immunity, amphibian immune defenses against the chytrid fungi, and the host-pathogen interactions that often favor the pathogen to the detriment of the host. Because amphibians are ectotherms, climate and temperature have a major impact on the amphibian immunity. Thus, I discuss current information about the role that temperature and unpredictable weather events may play in disease and immune responses to the chytrids. Because much research on amphibian declines is directed toward finding management solutions to protect threatened amphibians, I conclude by drawing attention to some of the most promising and novel mitigation strategies that are being proposed.","citation-key":"Rollins-Smith2020","container-title":"Herpetologica","DOI":"10.1655/0018-0831-76.2.178","ISSN":"00180831","issue":"2","page":"178-188","title":"Global amphibian declines, disease, and the ongoing battle between &lt;i&gt;Batrachochytrium&lt;/i&gt; fungi and the immune system","volume":"76","author":[{"family":"Rollins-Smith","given":"Louise A."}],"issued":{"date-parts":[["2020"]]}}},{"id":18796,"uris":["http://zotero.org/users/8183159/items/AINHQXM5"],"itemData":{"id":18796,"type":"article-journal","abstract":"Mucosal defenses are crucial in animals for protection against pathogens and predators. Host defense peptides (antimicrobial peptides, AMPs) as well as skin-associated microbes are key components of mucosal immunity, particularly in amphibians. We integrate microbiology, molecular biology, network-thinking, and proteomics to understand how host and microbially derived products on amphibian skin (referred to as the mucosome) serve as pathogen defenses. We studied defense mechanisms against chytrid pathogens, Batrachochytrium dendrobatidis (Bd) and B. salamandrivorans (Bsal), in four salamander species with different Batrachochytrium susceptibilities. Bd infection was quantified using qPCR, mucosome function (i.e., ability to kill Bd or Bsal zoospores in vitro), skin bacterial communities using 16S rRNA gene amplicon sequencing, and the role of Bd-inhibitory bacteria in microbial networks across all species. We explored the presence of candidate-AMPs in eastern newts and red-backed salamanders. Eastern newts had the highest Bd prevalence and mucosome function, while red-back salamanders had the lowest Bd prevalence and mucosome function, and two-lined salamanders and seal salamanders were intermediates. Salamanders with highest Bd infection intensity showed greater mucosome function. Bd infection prevalence significantly decreased as putative Bd-inhibitory bacterial richness and relative abundance increased on hosts. In co-occurrence networks, some putative Bd-inhibitory bacteria were found as hub-taxa, with red-backs having the highest proportion of protective hubs and positive associations related to putative Bd-inhibitory hub bacteria. We found more AMP candidates on salamanders with lower Bd susceptibility. These findings suggest that salamanders possess distinct innate mechanisms that affect chytrid fungi.IMPORTANCE How host mucosal defenses interact, and influence disease outcome is critical in understanding host defenses against pathogens. A more detailed understanding is needed of the interactions between the host and the functioning of its mucosal defenses in pathogen defense. This study investigates the variability of chytrid susceptibility in salamanders and the innate defenses each species possesses to mediate pathogens, thus advancing the knowledge toward a deeper understanding of the microbial ecology of skin-associated bacteria and contributing to the development of bioaugmentation strategies to mediate pathogen infection and disease. This study improves the understanding of complex immune defense mechanisms in salamanders and highlights the potential role of the mucosome to reduce the probability of Bd disease development and that putative protective bacteria may reduce likelihood of Bd infecting skin.","container-title":"Applied and Environmental Microbiology","DOI":"10.1128/aem.01818-21","issue":"8","page":"e01818-21","publisher":"American Society for Microbiology","source":"journals.asm.org (Atypon)","title":"Inhibitory Bacterial Diversity and Mucosome Function Differentiate Susceptibility of Appalachian Salamanders to Chytrid Fungal Infection","volume":"88","author":[{"family":"Jiménez","given":"Randall R."},{"family":"Carfagno","given":"Amy"},{"family":"Linhoff","given":"Luke"},{"family":"Gratwicke","given":"Brian"},{"family":"Woodhams","given":"Douglas C."},{"family":"Chafran","given":"Liana Soares"},{"family":"Bletz","given":"Molly C."},{"family":"Bishop","given":"Barney"},{"family":"Muletz-Wolz","given":"Carly R."}],"issued":{"date-parts":[["2022",3,29]]}}}],"schema":"https://github.com/citation-style-language/schema/raw/master/csl-citation.json"} </w:instrText>
      </w:r>
      <w:r w:rsidR="00741014" w:rsidRPr="552FBC60">
        <w:rPr>
          <w:rFonts w:asciiTheme="minorHAnsi" w:hAnsiTheme="minorHAnsi" w:cstheme="minorBidi"/>
          <w:sz w:val="22"/>
          <w:szCs w:val="22"/>
        </w:rPr>
        <w:fldChar w:fldCharType="separate"/>
      </w:r>
      <w:r w:rsidR="00C91241" w:rsidRPr="00C91241">
        <w:rPr>
          <w:rFonts w:ascii="Calibri" w:eastAsiaTheme="minorHAnsi" w:hAnsiTheme="minorHAnsi" w:cs="Calibri"/>
          <w:sz w:val="22"/>
        </w:rPr>
        <w:t>(9–11)</w:t>
      </w:r>
      <w:r w:rsidR="00741014" w:rsidRPr="552FBC60">
        <w:rPr>
          <w:rFonts w:asciiTheme="minorHAnsi" w:hAnsiTheme="minorHAnsi" w:cstheme="minorBidi"/>
          <w:sz w:val="22"/>
          <w:szCs w:val="22"/>
        </w:rPr>
        <w:fldChar w:fldCharType="end"/>
      </w:r>
      <w:r w:rsidRPr="552FBC60">
        <w:rPr>
          <w:rFonts w:asciiTheme="minorHAnsi" w:hAnsiTheme="minorHAnsi" w:cstheme="minorBidi"/>
          <w:sz w:val="22"/>
          <w:szCs w:val="22"/>
        </w:rPr>
        <w:t xml:space="preserve">. In a previous study of </w:t>
      </w:r>
      <w:r w:rsidRPr="552FBC60">
        <w:rPr>
          <w:rFonts w:asciiTheme="minorHAnsi" w:hAnsiTheme="minorHAnsi" w:cstheme="minorBidi"/>
          <w:i/>
          <w:iCs/>
          <w:sz w:val="22"/>
          <w:szCs w:val="22"/>
        </w:rPr>
        <w:t>Atelopus</w:t>
      </w:r>
      <w:r w:rsidRPr="552FBC60">
        <w:rPr>
          <w:rFonts w:asciiTheme="minorHAnsi" w:hAnsiTheme="minorHAnsi" w:cstheme="minorBidi"/>
          <w:sz w:val="22"/>
          <w:szCs w:val="22"/>
        </w:rPr>
        <w:t xml:space="preserve">, a small proportion of frogs cleared a chytrid infection and shared a unique skin microbiome compared to the animals that died </w:t>
      </w:r>
      <w:r w:rsidR="00741014" w:rsidRPr="552FBC60">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{"citationID":"jqT6qj0x","properties":{"formattedCitation":"(12)","plainCitation":"(12)","noteIndex":0},"citationItems":[{"id":5770,"uris":["http://zotero.org/users/8183159/items/8HE2SDKQ"],"itemData":{"id":5770,"type":"article-journal","abstract":"Symbiotic microbes can dramatically impact host health and fitness, and recent research in a diversity of systems suggests that different symbiont community structures may result in distinct outcomes for the host. In amphibians, some symbiotic skin bacteria produce metabolites that inhibit the growth of Batrachochytrium dendrobatidis (Bd), a cutaneous fungal pathogen that has caused many amphibian population declines and extinctions. Treatment with beneficial bacteria (probiotics) prevents Bd infection in some amphibian species and creates optimism for conservation of species that are highly susceptible to chytridiomycosis, the disease caused by Bd. In a laboratory experiment, we used Bd-inhibitory bacteria from Bd-tolerant Panamanian amphibians in a probiotic development trial with Panamanian golden frogs, Atelopus zeteki, a species currently surviving only in captive assurance colonies. Approximately 30% of infected golden frogs survived Bd exposure by either clearing infection or maintaining low Bd loads, but this was not associated with probiotic treatment. Survival was instead related to initial composition of the skin bacterial community and metabolites present on the skin. These results suggest a strong link between the structure of these symbiotic microbial communities and amphibian host health in the face of Bd exposure and also suggest a new approach for developing amphibian probiotics. © 2015 The Author(s) Published by the Royal Society. All rights reserved.","citation-key":"Becker2015","container-title":"Proceedings of the Royal Society B","DOI":"10.1098/rspb.2014.2881","ISSN":"09628452 (ISSN)","issue":"1805","note":"ISBN: 0962-8452","page":"20142881","PMID":"25788591","title":"Composition of symbiotic bacteria predicts survival in Panamanian golden frogs infected with a lethal fungus","volume":"282","author":[{"family":"Becker","given":"Matthew H."},{"family":"Walke","given":"Jenifer B."},{"family":"Cikanek","given":"Shawna"},{"family":"Savage","given":"Anna E."},{"family":"Mattheus","given":"Nichole"},{"family":"Santiago","given":"Celina N."},{"family":"Minbiole","given":"Kevin P. C."},{"family":"Harris","given":"Reid N."},{"family":"Belden","given":"Lisa K."},{"family":"Gratwicke","given":"Brian"}],"issued":{"date-parts":[["2015"]]}}}],"schema":"https://github.com/citation-style-language/schema/raw/master/csl-citation.json"} </w:instrText>
      </w:r>
      <w:r w:rsidR="00741014" w:rsidRPr="552FBC60">
        <w:rPr>
          <w:rFonts w:asciiTheme="minorHAnsi" w:hAnsiTheme="minorHAnsi" w:cstheme="minorBidi"/>
          <w:sz w:val="22"/>
          <w:szCs w:val="22"/>
        </w:rPr>
        <w:fldChar w:fldCharType="separate"/>
      </w:r>
      <w:r w:rsidR="00C91241">
        <w:rPr>
          <w:rFonts w:asciiTheme="minorHAnsi" w:hAnsiTheme="minorHAnsi" w:cstheme="minorBidi"/>
          <w:sz w:val="22"/>
          <w:szCs w:val="22"/>
        </w:rPr>
        <w:t>(12)</w:t>
      </w:r>
      <w:r w:rsidR="00741014" w:rsidRPr="552FBC60">
        <w:rPr>
          <w:rFonts w:asciiTheme="minorHAnsi" w:hAnsiTheme="minorHAnsi" w:cstheme="minorBidi"/>
          <w:sz w:val="22"/>
          <w:szCs w:val="22"/>
        </w:rPr>
        <w:fldChar w:fldCharType="end"/>
      </w:r>
      <w:r w:rsidRPr="552FBC60">
        <w:rPr>
          <w:rFonts w:asciiTheme="minorHAnsi" w:hAnsiTheme="minorHAnsi" w:cstheme="minorBidi"/>
          <w:sz w:val="22"/>
          <w:szCs w:val="22"/>
        </w:rPr>
        <w:t xml:space="preserve">. It is not clear whether these unique microbiomes are what conferred these animals’ survival or somehow reflect the consequence of their immunologically cleared fungal infection. Notably, manipulating the skin microbiome of harlequin frogs has not been successful at protecting them from disease </w:t>
      </w:r>
      <w:r w:rsidR="00741014" w:rsidRPr="552FBC60">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{"citationID":"st8dRCpc","properties":{"formattedCitation":"(5,12,13)","plainCitation":"(5,12,13)","noteIndex":0},"citationItems":[{"id":5273,"uris":["http://zotero.org/users/8183159/items/D3E94YNL"],"itemData":{"id":5273,"type":"article-journal","abstract":"Populations of native Panamanian golden frogs (Atelopus zeteki) have collapsed due to a recent chytridiomycosis epidemic. Reintroduction efforts from captive assurance colonies are unlikely to be successful without the development of methods to control chytridiomycosis in the wild. In an effort to develop a protective treatment regimen, we treated golden frogs with Janthinobacterium lividum, a skin bacterium that has been used to experimentally prevent chytridiomycosis in North American amphibians. Although J. lividum appeared to colonize A. zeteki skin temporarily, it did not prevent or delay mortality in A. zeteki exposed to Batrachochytrium dendrobatidis, the causative agent of chytridiomycosis. After introduction of J. lividum, average bacterial cell counts reached a peak of 1.7 × 10(6) cells per frog ~2 weeks after treatment but declined steadily after that. When J. lividum numbers declined to ~2.8 × 10(5) cells per frog, B. dendrobatidis infection intensity increased to greater than 13,000 zoospore equivalents per frog. At this point, frogs began to die of chytridiomycosis. Future research will concentrate on isolating and testing antifungal bacterial species from Panama that may be more compatible with Atelopus skin.","citation-key":"Becker2011","container-title":"EcoHealth","DOI":"10.1007/s10393-012-0743-0","ISSN":"16129210","issue":"4","note":"ISBN: 1039301207","page":"501-506","PMID":"22328095","title":"Towards a better understanding of the use of probiotics for preventing chytridiomycosis in Panamanian golden frogs.","volume":"8","author":[{"family":"Becker","given":"Matthew H."},{"family":"Harris","given":"Reid N."},{"family":"Minbiole","given":"Kevin P.C."},{"family":"Schwantes","given":"Christian R."},{"family":"Rollins-Smith","given":"Louise A."},{"family":"Reinert","given":"Laura K."},{"family":"Brucker","given":"Robert M."},{"family":"Domangue","given":"Rickie J."},{"family":"Gratwicke","given":"Brian"}],"issued":{"date-parts":[["2011",12]]}}},{"id":5770,"uris":["http://zotero.org/users/8183159/items/8HE2SDKQ"],"itemData":{"id":5770,"type":"article-journal","abstract":"Symbiotic microbes can dramatically impact host health and fitness, and recent research in a diversity of systems suggests that different symbiont community structures may result in distinct outcomes for the host. In amphibians, some symbiotic skin bacteria produce metabolites that inhibit the growth of Batrachochytrium dendrobatidis (Bd), a cutaneous fungal pathogen that has caused many amphibian population declines and extinctions. Treatment with beneficial bacteria (probiotics) prevents Bd infection in some amphibian species and creates optimism for conservation of species that are highly susceptible to chytridiomycosis, the disease caused by Bd. In a laboratory experiment, we used Bd-inhibitory bacteria from Bd-tolerant Panamanian amphibians in a probiotic development trial with Panamanian golden frogs, Atelopus zeteki, a species currently surviving only in captive assurance colonies. Approximately 30% of infected golden frogs survived Bd exposure by either clearing infection or maintaining low Bd loads, but this was not associated with probiotic treatment. Survival was instead related to initial composition of the skin bacterial community and metabolites present on the skin. These results suggest a strong link between the structure of these symbiotic microbial communities and amphibian host health in the face of Bd exposure and also suggest a new approach for developing amphibian probiotics. © 2015 The Author(s) Published by the Royal Society. All rights reserved.","citation-key":"Becker2015","container-title":"Proceedings of the Royal Society B","DOI":"10.1098/rspb.2014.2881","ISSN":"09628452 (ISSN)","issue":"1805","note":"ISBN: 0962-8452","page":"20142881","PMID":"25788591","title":"Composition of symbiotic bacteria predicts survival in Panamanian golden frogs infected with a lethal fungus","volume":"282","author":[{"family":"Becker","given":"Matthew H."},{"family":"Walke","given":"Jenifer B."},{"family":"Cikanek","given":"Shawna"},{"family":"Savage","given":"Anna E."},{"family":"Mattheus","given":"Nichole"},{"family":"Santiago","given":"Celina N."},{"family":"Minbiole","given":"Kevin P. C."},{"family":"Harris","given":"Reid N."},{"family":"Belden","given":"Lisa K."},{"family":"Gratwicke","given":"Brian"}],"issued":{"date-parts":[["2015"]]}}},{"id":5872,"uris":["http://zotero.org/users/8183159/items/J6AGFHPW"],"itemData":{"id":5872,"type":"article-journal","abstract":"We designed two probiotic treatments to control chytridiomycosis caused by Batrachochytrium dendrobatidis (Bd) on infected Panamanian golden frogs (Atelopus zeteki), a species that is thought to be extinct in the wild due to Bd. The first approach disrupted the existing skin microbe community with antibiotics then exposed the frogs to a core golden frog skin microbe (Diaphorobacter sp.) that we genetically modified to produce high titers of violacein, a known antifungal compound. One day following probiotic treatment, the engineered Diaphorobacter and the violacein-producing pathway could be detected on the frogs but the treatment failed to improve frog survival when exposed to Bd. The second approach exposed frogs to the genetically modified bacterium mixed into a consortium with six other known anti-Bd bacteria isolated from captive A. zeteki, with no preliminary antibiotic treatment. The consortium treatment increased the frequency and abundance of three probiotic isolates (Janthinobacterium, Chryseobacterium, and Stenotrophomonas) and these persisted on the skin 4 weeks after probiotic treatment. There was a temporary increase in the frequency and abundance of three other probiotics isolates (Masillia, Serratia, and Pseudomonas) and the engineered Diaphorobacter isolate, but they subsequently disappeared from the skin. This treatment also failed to reduce frog mortality upon exposure.","citation-key":"Becker2021","container-title":"ISME Communications 2021 1:1","DOI":"10.1038/s43705-021-00044-w","ISSN":"2730-6151","issue":"1","page":"1-10","publisher":"Nature Publishing Group","title":"Genetically modifying skin microbe to produce violacein and augmenting microbiome did not defend Panamanian golden frogs from disease","volume":"1","author":[{"family":"Becker","given":"Matthew H."},{"family":"Brophy","given":"Jennifer A. N."},{"family":"Barrett","given":"Kevin"},{"family":"Bronikowski","given":"Ed"},{"family":"Evans","given":"Matthew"},{"family":"Glassey","given":"Emerson"},{"family":"Kaganer","given":"Alyssa W."},{"family":"Klocke","given":"Blake"},{"family":"Lassiter","given":"Elliot"},{"family":"Meyer","given":"Adam J."},{"family":"Muletz-Wolz","given":"Carly R."},{"family":"Fleischer","given":"Robert C."},{"family":"Voigt","given":"Christopher A."},{"family":"Gratwicke","given":"Brian"}],"issued":{"date-parts":[["2021",10,18]]}}}],"schema":"https://github.com/citation-style-language/schema/raw/master/csl-citation.json"} </w:instrText>
      </w:r>
      <w:r w:rsidR="00741014" w:rsidRPr="552FBC60">
        <w:rPr>
          <w:rFonts w:asciiTheme="minorHAnsi" w:hAnsiTheme="minorHAnsi" w:cstheme="minorBidi"/>
          <w:sz w:val="22"/>
          <w:szCs w:val="22"/>
        </w:rPr>
        <w:fldChar w:fldCharType="separate"/>
      </w:r>
      <w:r w:rsidR="00C91241">
        <w:rPr>
          <w:rFonts w:asciiTheme="minorHAnsi" w:hAnsiTheme="minorHAnsi" w:cstheme="minorBidi"/>
          <w:sz w:val="22"/>
          <w:szCs w:val="22"/>
        </w:rPr>
        <w:t>(5,12,13)</w:t>
      </w:r>
      <w:r w:rsidR="00741014" w:rsidRPr="552FBC60">
        <w:rPr>
          <w:rFonts w:asciiTheme="minorHAnsi" w:hAnsiTheme="minorHAnsi" w:cstheme="minorBidi"/>
          <w:sz w:val="22"/>
          <w:szCs w:val="22"/>
        </w:rPr>
        <w:fldChar w:fldCharType="end"/>
      </w:r>
      <w:r w:rsidRPr="552FBC60">
        <w:rPr>
          <w:rFonts w:asciiTheme="minorHAnsi" w:hAnsiTheme="minorHAnsi" w:cstheme="minorBidi"/>
          <w:sz w:val="22"/>
          <w:szCs w:val="22"/>
        </w:rPr>
        <w:t>, but a better understanding of the acquired immune response to Bd could lead us to develop vaccines as potential conservation tools</w:t>
      </w:r>
      <w:r w:rsidR="006D3BE6">
        <w:rPr>
          <w:rFonts w:asciiTheme="minorHAnsi" w:hAnsiTheme="minorHAnsi" w:cstheme="minorBidi"/>
          <w:sz w:val="22"/>
          <w:szCs w:val="22"/>
        </w:rPr>
        <w:t xml:space="preserve"> </w:t>
      </w:r>
      <w:bookmarkStart w:id="0" w:name="_Hlk215933394"/>
      <w:r w:rsidR="006D3BE6">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{"citationID":"0xLa6oyY","properties":{"formattedCitation":"(14)","plainCitation":"(14)","noteIndex":0},"citationItems":[{"id":"jhYPt1yk/9p2WlWcM","uris":["http://zotero.org/groups/6008588/items/XZMBMNGB"],"itemData":{"id":18566,"type":"article-journal","container-title":"Royal Society Open Science","DOI":"10.1098/rsos.220810","ISSN":"2054-5703","issue":"2","note":"publisher: The Royal Society","title":"Immune priming prior to pathogen exposure sheds light on the relationship between host, microbiome and pathogen in disease","URL":"http://dx.doi.org/10.1098/rsos.220810","volume":"10","author":[{"family":"Kaganer","given":"Alyssa W."},{"family":"Ossiboff","given":"Robert J."},{"family":"Keith","given":"Nicole I."},{"family":"Schuler","given":"Krysten L."},{"family":"Comizzoli","given":"Pierre"},{"family":"Hare","given":"Matthew P."},{"family":"Fleischer","given":"Robert C."},{"family":"Gratwicke","given":"Brian"},{"family":"Bunting","given":"Elizabeth M."}],"issued":{"date-parts":[["2023",2]]}}}],"schema":"https://github.com/citation-style-language/schema/raw/master/csl-citation.json"} </w:instrText>
      </w:r>
      <w:r w:rsidR="006D3BE6">
        <w:rPr>
          <w:rFonts w:asciiTheme="minorHAnsi" w:hAnsiTheme="minorHAnsi" w:cstheme="minorBidi"/>
          <w:sz w:val="22"/>
          <w:szCs w:val="22"/>
        </w:rPr>
        <w:fldChar w:fldCharType="separate"/>
      </w:r>
      <w:r w:rsidR="00C91241">
        <w:rPr>
          <w:rFonts w:asciiTheme="minorHAnsi" w:hAnsiTheme="minorHAnsi" w:cstheme="minorBidi"/>
          <w:noProof/>
          <w:sz w:val="22"/>
          <w:szCs w:val="22"/>
        </w:rPr>
        <w:t>(14)</w:t>
      </w:r>
      <w:r w:rsidR="006D3BE6">
        <w:rPr>
          <w:rFonts w:asciiTheme="minorHAnsi" w:hAnsiTheme="minorHAnsi" w:cstheme="minorBidi"/>
          <w:sz w:val="22"/>
          <w:szCs w:val="22"/>
        </w:rPr>
        <w:fldChar w:fldCharType="end"/>
      </w:r>
      <w:r w:rsidRPr="552FBC60">
        <w:rPr>
          <w:rFonts w:asciiTheme="minorHAnsi" w:hAnsiTheme="minorHAnsi" w:cstheme="minorBidi"/>
          <w:sz w:val="22"/>
          <w:szCs w:val="22"/>
        </w:rPr>
        <w:t xml:space="preserve">. </w:t>
      </w:r>
      <w:bookmarkEnd w:id="0"/>
      <w:r w:rsidRPr="552FBC60">
        <w:rPr>
          <w:rFonts w:asciiTheme="minorHAnsi" w:hAnsiTheme="minorHAnsi" w:cstheme="minorBidi"/>
          <w:sz w:val="22"/>
          <w:szCs w:val="22"/>
        </w:rPr>
        <w:t xml:space="preserve">Antifungal vaccines, however, represent a unique research challenge. Even though some antifungal vaccines have been developed for human diseases </w:t>
      </w:r>
      <w:r w:rsidR="00741014" w:rsidRPr="552FBC60">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{"citationID":"iqUuKbmV","properties":{"formattedCitation":"(15)","plainCitation":"(15)","noteIndex":0},"citationItems":[{"id":12445,"uris":["http://zotero.org/users/8183159/items/2UD7E7ER"],"itemData":{"id":12445,"type":"article-journal","abstract":"Despite the substantial global burden of human fungal infections, there are no approved fungal vaccines to protect at risk individuals. Here, we review the progress that has been made and the challenges that lie ahead in the quest towards efficacious fungal vaccines. In mouse studies, protection has been achieved with vaccines directed against fungal pathogens, including species of Candida, Cryptococcus, and Aspergillus, that most commonly cause life-threatening human disease. Encouraging results have been obtained with vaccines composed of live-attenuated and killed fungi, crude extracts, recombinant subunit formulations, and nucleic acid vaccines. Novel adjuvants that instruct the immune system to mount the types of protective responses needed to fight mycotic infections are under development. Candidate vaccines include those that target common antigens expressed on multiple genera of fungi thereby protecting against a broad range of mycoses. Encouragingly, three vaccines have reached human clinical trials. Still, formidable obstacles must be overcome before we will have fungal vaccines licensed for human use.","container-title":"npj Vaccines","DOI":"10.1038/s41541-021-00294-8","ISSN":"2059-0105","issue":"1","language":"en","license":"2021 The Author(s)","page":"1-8","publisher":"Nature Publishing Group","source":"www.nature.com","title":"Vaccines for human fungal diseases: close but still a long way to go","title-short":"Vaccines for human fungal diseases","volume":"6","author":[{"family":"Oliveira","given":"Lorena V. N."},{"family":"Wang","given":"Ruiying"},{"family":"Specht","given":"Charles A."},{"family":"Levitz","given":"Stuart M."}],"issued":{"date-parts":[["2021",3,3]]}}}],"schema":"https://github.com/citation-style-language/schema/raw/master/csl-citation.json"} </w:instrText>
      </w:r>
      <w:r w:rsidR="00741014" w:rsidRPr="552FBC60">
        <w:rPr>
          <w:rFonts w:asciiTheme="minorHAnsi" w:hAnsiTheme="minorHAnsi" w:cstheme="minorBidi"/>
          <w:sz w:val="22"/>
          <w:szCs w:val="22"/>
        </w:rPr>
        <w:fldChar w:fldCharType="separate"/>
      </w:r>
      <w:r w:rsidR="00C91241">
        <w:rPr>
          <w:rFonts w:asciiTheme="minorHAnsi" w:hAnsiTheme="minorHAnsi" w:cstheme="minorBidi"/>
          <w:sz w:val="22"/>
          <w:szCs w:val="22"/>
        </w:rPr>
        <w:t>(15)</w:t>
      </w:r>
      <w:r w:rsidR="00741014" w:rsidRPr="552FBC60">
        <w:rPr>
          <w:rFonts w:asciiTheme="minorHAnsi" w:hAnsiTheme="minorHAnsi" w:cstheme="minorBidi"/>
          <w:sz w:val="22"/>
          <w:szCs w:val="22"/>
        </w:rPr>
        <w:fldChar w:fldCharType="end"/>
      </w:r>
      <w:r w:rsidRPr="552FBC60">
        <w:rPr>
          <w:rFonts w:asciiTheme="minorHAnsi" w:hAnsiTheme="minorHAnsi" w:cstheme="minorBidi"/>
          <w:sz w:val="22"/>
          <w:szCs w:val="22"/>
        </w:rPr>
        <w:t xml:space="preserve"> and one for white-nose </w:t>
      </w:r>
      <w:r w:rsidR="00F24D0B">
        <w:rPr>
          <w:rFonts w:asciiTheme="minorHAnsi" w:hAnsiTheme="minorHAnsi" w:cstheme="minorBidi"/>
          <w:sz w:val="22"/>
          <w:szCs w:val="22"/>
        </w:rPr>
        <w:t>syndrome</w:t>
      </w:r>
      <w:r w:rsidRPr="552FBC60">
        <w:rPr>
          <w:rFonts w:asciiTheme="minorHAnsi" w:hAnsiTheme="minorHAnsi" w:cstheme="minorBidi"/>
          <w:sz w:val="22"/>
          <w:szCs w:val="22"/>
        </w:rPr>
        <w:t xml:space="preserve"> in bats </w:t>
      </w:r>
      <w:r w:rsidR="00741014" w:rsidRPr="552FBC60">
        <w:rPr>
          <w:rFonts w:asciiTheme="minorHAnsi" w:hAnsiTheme="minorHAnsi" w:cstheme="minorBidi"/>
          <w:sz w:val="22"/>
          <w:szCs w:val="22"/>
        </w:rPr>
        <w:fldChar w:fldCharType="begin"/>
      </w:r>
      <w:r w:rsidR="00C91241">
        <w:rPr>
          <w:rFonts w:asciiTheme="minorHAnsi" w:hAnsiTheme="minorHAnsi" w:cstheme="minorBidi"/>
          <w:sz w:val="22"/>
          <w:szCs w:val="22"/>
        </w:rPr>
        <w:instrText xml:space="preserve"> ADDIN ZOTERO_ITEM CSL_CITATION {"citationID":"O9wWhsJ9","properties":{"formattedCitation":"(16)","plainCitation":"(16)","noteIndex":0},"citationItems":[{"id":18699,"uris":["http://zotero.org/users/8183159/items/PTFWIINU"],"itemData":{"id":18699,"type":"article-journal","abstract":"Abstract\n            \n              White-nose syndrome (WNS) caused by the fungus,\n              Pseudogymnoascus destructans\n              (\n              Pd\n              ) has killed millions of North American hibernating bats. Currently, methods to prevent the disease are limited. We conducted two trials to assess potential WNS vaccine candidates in wild-caught\n              Myotis lucifugus\n              . In a pilot study, we immunized bats with one of four vaccine treatments or phosphate-buffered saline (PBS) as a control and challenged them with\n              Pd\n              upon transfer into hibernation chambers. Bats in one vaccine-treated group, that received raccoon poxviruses (RCN) expressing\n              Pd\n              calnexin (CAL) and serine protease (SP), developed WNS at a lower rate (1/10) than other treatments combined (14/23), although samples sizes were small. The results of a second similar trial provided additional support for this observation. Bats vaccinated orally or by injection with RCN-CAL and RCN-SP survived\n              Pd\n              challenge at a significantly higher rate (P = 0.01) than controls. Using RT-PCR and flow cytometry, combined with fluorescent\n              in situ\n              hybridization, we determined that expression of IFN-γ transcripts and the number of CD4 + T-helper cells transcribing this gene were elevated (P &lt; 0.10) in stimulated lymphocytes from surviving vaccinees (n = 15) compared to controls (n = 3). We conclude that vaccination with virally-vectored\n              Pd\n              antigens induced antifungal immunity that could potentially protect bats against WNS.","container-title":"Scientific Reports","DOI":"10.1038/s41598-019-43210-w","ISSN":"2045-2322","issue":"1","journalAbbreviation":"Sci Rep","language":"en","page":"6788","source":"DOI.org (Crossref)","title":"Virally-vectored vaccine candidates against white-nose syndrome induce anti-fungal immune response in little brown bats (&lt;i&gt;Myotis lucifugus&lt;/i&gt;)","volume":"9","author":[{"family":"Rocke","given":"Tonie E."},{"family":"Kingstad-Bakke","given":"Brock"},{"family":"Wüthrich","given":"Marcel"},{"family":"Stading","given":"Ben"},{"family":"Abbott","given":"Rachel C."},{"family":"Isidoro-Ayza","given":"Marcos"},{"family":"Dobson","given":"Hannah E."},{"family":"Dos Santos Dias","given":"Lucas"},{"family":"Galles","given":"Kevin"},{"family":"Lankton","given":"Julia S."},{"family":"Falendysz","given":"Elizabeth A."},{"family":"Lorch","given":"Jeffrey M."},{"family":"Fites","given":"J. Scott"},{"family":"Lopera-Madrid","given":"Jaime"},{"family":"White","given":"J. Paul"},{"family":"Klein","given":"Bruce"},{"family":"Osorio","given":"Jorge E."}],"issued":{"date-parts":[["2019",5,1]]}}}],"schema":"https://github.com/citation-style-language/schema/raw/master/csl-citation.json"} </w:instrText>
      </w:r>
      <w:r w:rsidR="00741014" w:rsidRPr="552FBC60">
        <w:rPr>
          <w:rFonts w:asciiTheme="minorHAnsi" w:hAnsiTheme="minorHAnsi" w:cstheme="minorBidi"/>
          <w:sz w:val="22"/>
          <w:szCs w:val="22"/>
        </w:rPr>
        <w:fldChar w:fldCharType="separate"/>
      </w:r>
      <w:r w:rsidR="00C91241">
        <w:rPr>
          <w:rFonts w:asciiTheme="minorHAnsi" w:hAnsiTheme="minorHAnsi" w:cstheme="minorBidi"/>
          <w:noProof/>
          <w:sz w:val="22"/>
          <w:szCs w:val="22"/>
        </w:rPr>
        <w:t>(16)</w:t>
      </w:r>
      <w:r w:rsidR="00741014" w:rsidRPr="552FBC60">
        <w:rPr>
          <w:rFonts w:asciiTheme="minorHAnsi" w:hAnsiTheme="minorHAnsi" w:cstheme="minorBidi"/>
          <w:sz w:val="22"/>
          <w:szCs w:val="22"/>
        </w:rPr>
        <w:fldChar w:fldCharType="end"/>
      </w:r>
      <w:r w:rsidRPr="552FBC60">
        <w:rPr>
          <w:rFonts w:asciiTheme="minorHAnsi" w:hAnsiTheme="minorHAnsi" w:cstheme="minorBidi"/>
          <w:sz w:val="22"/>
          <w:szCs w:val="22"/>
        </w:rPr>
        <w:t xml:space="preserve">, none are commercially available </w:t>
      </w:r>
      <w:r w:rsidR="00741014" w:rsidRPr="552FBC60">
        <w:rPr>
          <w:rFonts w:asciiTheme="minorHAnsi" w:hAnsiTheme="minorHAnsi" w:cstheme="minorBidi"/>
          <w:sz w:val="22"/>
          <w:szCs w:val="22"/>
        </w:rPr>
        <w:fldChar w:fldCharType="begin"/>
      </w:r>
      <w:r w:rsidR="00C91241">
        <w:rPr>
          <w:rFonts w:asciiTheme="minorHAnsi" w:hAnsiTheme="minorHAnsi" w:cstheme="minorBidi"/>
          <w:sz w:val="22"/>
          <w:szCs w:val="22"/>
        </w:rPr>
        <w:instrText xml:space="preserve"> ADDIN ZOTERO_ITEM CSL_CITATION {"citationID":"FdF7ZJd1","properties":{"formattedCitation":"(17)","plainCitation":"(17)","noteIndex":0},"citationItems":[{"id":18695,"uris":["http://zotero.org/users/8183159/items/6287NSYA"],"itemData":{"id":18695,"type":"article-journal","container-title":"Nature","DOI":"10.1038/s41586-024-08419-4","ISSN":"0028-0836, 1476-4687","issue":"8049","journalAbbreviation":"Nature","language":"en","page":"49-57","source":"DOI.org (Crossref)","title":"Fungal impacts on Earth’s ecosystems","volume":"638","author":[{"family":"Case","given":"Nicola T."},{"family":"Gurr","given":"Sarah J."},{"family":"Fisher","given":"Matthew C."},{"family":"Blehert","given":"David S."},{"family":"Boone","given":"Charles"},{"family":"Casadevall","given":"Arturo"},{"family":"Chowdhary","given":"Anuradha"},{"family":"Cuomo","given":"Christina A."},{"family":"Currie","given":"Cameron R."},{"family":"Denning","given":"David W."},{"family":"Ene","given":"Iuliana V."},{"family":"Fritz-Laylin","given":"Lillian K."},{"family":"Gerstein","given":"Aleeza C."},{"family":"Gow","given":"Neil A. R."},{"family":"Gusa","given":"Asiya"},{"family":"Iliev","given":"Iliyan D."},{"family":"James","given":"Timothy Y."},{"family":"Jin","given":"Hailing"},{"family":"Kahmann","given":"Regine"},{"family":"Klein","given":"Bruce S."},{"family":"Kronstad","given":"James W."},{"family":"Ost","given":"Kyla S."},{"family":"Peay","given":"Kabir G."},{"family":"Shapiro","given":"Rebecca S."},{"family":"Sheppard","given":"Donald C."},{"family":"Shlezinger","given":"Neta"},{"family":"Stajich","given":"Jason E."},{"family":"Stukenbrock","given":"Eva H."},{"family":"Taylor","given":"John W."},{"family":"Wright","given":"Gerard D."},{"family":"Cowen","given":"Leah E."},{"family":"Heitman","given":"Joseph"},{"family":"Segre","given":"Julia A."}],"issued":{"date-parts":[["2025",2,6]]}}}],"schema":"https://github.com/citation-style-language/schema/raw/master/csl-citation.json"} </w:instrText>
      </w:r>
      <w:r w:rsidR="00741014" w:rsidRPr="552FBC60">
        <w:rPr>
          <w:rFonts w:asciiTheme="minorHAnsi" w:hAnsiTheme="minorHAnsi" w:cstheme="minorBidi"/>
          <w:sz w:val="22"/>
          <w:szCs w:val="22"/>
        </w:rPr>
        <w:fldChar w:fldCharType="separate"/>
      </w:r>
      <w:r w:rsidR="00C91241">
        <w:rPr>
          <w:rFonts w:asciiTheme="minorHAnsi" w:hAnsiTheme="minorHAnsi" w:cstheme="minorBidi"/>
          <w:noProof/>
          <w:sz w:val="22"/>
          <w:szCs w:val="22"/>
        </w:rPr>
        <w:t>(17)</w:t>
      </w:r>
      <w:r w:rsidR="00741014" w:rsidRPr="552FBC60">
        <w:rPr>
          <w:rFonts w:asciiTheme="minorHAnsi" w:hAnsiTheme="minorHAnsi" w:cstheme="minorBidi"/>
          <w:sz w:val="22"/>
          <w:szCs w:val="22"/>
        </w:rPr>
        <w:fldChar w:fldCharType="end"/>
      </w:r>
      <w:r w:rsidRPr="552FBC60">
        <w:rPr>
          <w:rFonts w:asciiTheme="minorHAnsi" w:hAnsiTheme="minorHAnsi" w:cstheme="minorBidi"/>
          <w:sz w:val="22"/>
          <w:szCs w:val="22"/>
        </w:rPr>
        <w:t xml:space="preserve">. </w:t>
      </w:r>
    </w:p>
    <w:p w14:paraId="20A9FD11" w14:textId="77777777" w:rsidR="0028254D" w:rsidRPr="00D16989" w:rsidRDefault="0028254D" w:rsidP="00547AFA">
      <w:pPr>
        <w:spacing w:line="480" w:lineRule="auto"/>
        <w:rPr>
          <w:rFonts w:asciiTheme="minorHAnsi" w:hAnsiTheme="minorHAnsi" w:cstheme="minorHAnsi"/>
          <w:sz w:val="22"/>
          <w:szCs w:val="22"/>
        </w:rPr>
      </w:pPr>
    </w:p>
    <w:p w14:paraId="52FFD05D" w14:textId="021E0D90" w:rsidR="00E811F1" w:rsidRPr="00D16989" w:rsidRDefault="55308F7B" w:rsidP="55308F7B">
      <w:pPr>
        <w:spacing w:line="480" w:lineRule="auto"/>
        <w:rPr>
          <w:rFonts w:asciiTheme="minorHAnsi" w:hAnsiTheme="minorHAnsi" w:cstheme="minorBidi"/>
          <w:sz w:val="22"/>
          <w:szCs w:val="22"/>
        </w:rPr>
      </w:pPr>
      <w:r w:rsidRPr="55308F7B">
        <w:rPr>
          <w:rFonts w:asciiTheme="minorHAnsi" w:hAnsiTheme="minorHAnsi" w:cstheme="minorBidi"/>
          <w:sz w:val="22"/>
          <w:szCs w:val="22"/>
        </w:rPr>
        <w:t xml:space="preserve">Prior exposure to Bd followed by heat or drug-mediated clearance have been shown to confer protection to subsequent re-exposure to Bd. This approach has been successful in some evolutionarily </w:t>
      </w:r>
      <w:r w:rsidRPr="55308F7B">
        <w:rPr>
          <w:rFonts w:asciiTheme="minorHAnsi" w:hAnsiTheme="minorHAnsi" w:cstheme="minorBidi"/>
          <w:sz w:val="22"/>
          <w:szCs w:val="22"/>
        </w:rPr>
        <w:lastRenderedPageBreak/>
        <w:t>disparate species</w:t>
      </w:r>
      <w:r w:rsidRPr="55308F7B">
        <w:rPr>
          <w:rFonts w:asciiTheme="minorHAnsi" w:hAnsiTheme="minorHAnsi" w:cstheme="minorBidi"/>
          <w:i/>
          <w:iCs/>
          <w:sz w:val="22"/>
          <w:szCs w:val="22"/>
        </w:rPr>
        <w:t xml:space="preserve"> </w:t>
      </w:r>
      <w:r w:rsidR="00163D9D" w:rsidRPr="55308F7B">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MI78EiJH","properties":{"formattedCitation":"(18\\uc0\\u8211{}20)","plainCitation":"(18–20)","noteIndex":0},"citationItems":[{"id":4654,"uris":["http://zotero.org/users/8183159/items/WEBQ8I94"],"itemData":{"id":4654,"type":"article-journal","citation-key":"McMahon2014","container-title":"Nature","DOI":"10.1038/nature13491","ISSN":"0028-0836","issue":"7508","page":"224-227","publisher":"Nature Publishing Group","title":"Amphibians acquire resistance to live and dead fungus overcoming fungal immunosuppression","volume":"511","author":[{"family":"McMahon","given":"Taegan A."},{"family":"Sears","given":"Brittany F."},{"family":"Venesky","given":"Matthew D."},{"family":"Bessler","given":"Scott M."},{"family":"Brown","given":"Jenise M."},{"family":"Deutsch","given":"Kaitlin"},{"family":"Halstead","given":"Neal T."},{"family":"Lentz","given":"Garrett"},{"family":"Tenouri","given":"Nadia"},{"family":"Young","given":"Suzanne"},{"family":"Civitello","given":"David J."},{"family":"Ortega","given":"Nicole"},{"family":"Fites","given":"J. Scott"},{"family":"Reinert","given":"Laura K."},{"family":"Rollins-Smith","given":"Louise A."},{"family":"Raffel","given":"Thomas R."},{"family":"Rohr","given":"Jason R."}],"issued":{"date-parts":[["2014"]]}}},{"id":5950,"uris":["http://zotero.org/users/8183159/items/C54JBMST","http://zotero.org/users/8183159/items/DXVSZQB3"],"itemData":{"id":5950,"type":"article-journal","abstract":"Amphibian biodiversity is experiencing ongoing declines due in part to the infectious disease, chytridiomycosis. Efforts to mitigate the effects of the causal agent of chytridiomycosis, Batrachochytrium dendrobatidis (Bd), in the wild have not been wholly effective. Translocations are an important management tool for amphibians, and immunizations represent a possible strategy for preparing amphibians for release across a landscape where Bd exists. We evaluated the utility of using an isolate of Bd that was shown to be hypovirulent to the relict leopard frog Rana onca as a transmissible inoculum for promoting chytridiomycosis resistance. We conducted a co-housing experiment to determine if the isolate we used could be passed between R. onca without increasing in virulence. We then followed with an experiment where frogs that were exposed to the hypovirulent isolate were then challenged with a virulent Bd isolate. In other experiments, we evaluated whether Bd infections followed by clearance with itraconazole (an antifungal) could increase resistance to chytridiomycosis in R. onca and Rana pipiens (northern leopard frog). We found that our hypovirulent Bd inoculation was transmissible between hosts, did not cause chytridiomycosis and was effective at imparting long-term chytridiomycosis resistance. Rana onca inoculated with the hypovirulent Bd isolate had lower pathogen burdens and were 55 times more likely to survive infections by a virulent Bd isolate than non-inoculated frogs. For both species, prior exposure to Bd followed by infection clearance with itraconazole resulted in significantly increased survivorship and lower pathogen burdens as compared to controls that had no prior Bd exposure. Rana onca that were previously exposed to Bd were more than 15 times more likely to survive infections. Previously exposed R. pipiens survived in higher proportions than controls, but with weaker statistical support. Synthesis and Applications. Translocations are an important management tool for many amphibian conservation programs. For amphibian species that have experienced declines due to the disease chytridiomycosis [caused by the pathogen Batrachochytrium dendrobatidis (Bd)], the success of translocations may be limited due to the persistent threat of the disease in the wild. We completed a series of experiments aimed at increasing amphibian resistance to chytridiomycosis using low-virulence, transmissible Bd inoculations and Bd infection followed by clearance with an antifungal (itraconazole). Our low-virulence Bd inoculations were transmissible, did not cause disease and provided long-term resistance against chytridiomycosis. Similarly, infection with Bd and clearance with itraconazole led to increased resistance to chytridiomycosis in subsequent exposures. The use of a low-virulence Bd inoculation could be further developed into a transmissible vaccine, propagating the protective benefits beyond individuals that can be directly inoculated. At this stage, we advise that using the alternative approach of infecting frogs with Bd from translocation sites followed by clearance of infections with itraconazole may be sensible for increasing host resistance to chytridiomycosis.","container-title":"Journal of Applied Ecology","DOI":"10.1111/1365-2664.13974","ISSN":"13652664","issue":"10","page":"2053-2064","title":"Amphibian resistance to chytridiomycosis increases following low-virulence chytrid fungal infection or drug-mediated clearance","volume":"58","author":[{"family":"Waddle","given":"Anthony W."},{"family":"Rivera","given":"Rebeca"},{"family":"Rice","given":"Hannah"},{"family":"Keenan","given":"Emma C."},{"family":"Rezaei","given":"Ghazal"},{"family":"Levy","given":"Joshua E."},{"family":"Vasquez","given":"Yesenia S."},{"family":"Sai","given":"Marlai"},{"family":"Hill","given":"Jessica"},{"family":"Zmuda","given":"Alexandra"},{"family":"Lambreghts","given":"Yorick"},{"family":"Jaeger","given":"Jef R."}],"issued":{"date-parts":[["2021"]]}}},{"id":12450,"uris":["http://zotero.org/users/8183159/items/UNC5HTRV"],"itemData":{"id":12450,"type":"article-journal","container-title":"Nature","DOI":"10.1038/s41586-024-07582-y","ISSN":"0028-0836, 1476-4687","issue":"8020","journalAbbreviation":"Nature","language":"en","page":"344-349","source":"DOI.org (Crossref)","title":"Hotspot shelters stimulate frog resistance to chytridiomycosis","volume":"631","author":[{"family":"Waddle","given":"Anthony W."},{"family":"Clulow","given":"Simon"},{"family":"Aquilina","given":"Amy"},{"family":"Sauer","given":"Erin L."},{"family":"Kaiser","given":"Shannon W."},{"family":"Miller","given":"Claire"},{"family":"Flegg","given":"Jennifer A."},{"family":"Campbell","given":"Patricia T."},{"family":"Gallagher","given":"Harrison"},{"family":"Dimovski","given":"Ivana"},{"family":"Lambreghts","given":"Yorick"},{"family":"Berger","given":"Lee"},{"family":"Skerratt","given":"Lee F."},{"family":"Shine","given":"Richard"}],"issued":{"date-parts":[["2024",7,11]]}}}],"schema":"https://github.com/citation-style-language/schema/raw/master/csl-citation.json"} </w:instrText>
      </w:r>
      <w:r w:rsidR="00163D9D" w:rsidRPr="55308F7B">
        <w:rPr>
          <w:rFonts w:asciiTheme="minorHAnsi" w:hAnsiTheme="minorHAnsi" w:cstheme="minorBidi"/>
          <w:sz w:val="22"/>
          <w:szCs w:val="22"/>
        </w:rPr>
        <w:fldChar w:fldCharType="separate"/>
      </w:r>
      <w:r w:rsidR="00C91241" w:rsidRPr="00C91241">
        <w:rPr>
          <w:rFonts w:ascii="Calibri" w:eastAsiaTheme="minorHAnsi" w:hAnsiTheme="minorHAnsi" w:cs="Calibri"/>
          <w:sz w:val="22"/>
        </w:rPr>
        <w:t>(18–20)</w:t>
      </w:r>
      <w:r w:rsidR="00163D9D" w:rsidRPr="55308F7B">
        <w:rPr>
          <w:rFonts w:asciiTheme="minorHAnsi" w:hAnsiTheme="minorHAnsi" w:cstheme="minorBidi"/>
          <w:sz w:val="22"/>
          <w:szCs w:val="22"/>
        </w:rPr>
        <w:fldChar w:fldCharType="end"/>
      </w:r>
      <w:r w:rsidRPr="55308F7B">
        <w:rPr>
          <w:rFonts w:asciiTheme="minorHAnsi" w:hAnsiTheme="minorHAnsi" w:cstheme="minorBidi"/>
          <w:sz w:val="22"/>
          <w:szCs w:val="22"/>
        </w:rPr>
        <w:t xml:space="preserve"> but not in others </w:t>
      </w:r>
      <w:r w:rsidR="00163D9D" w:rsidRPr="55308F7B">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{"citationID":"eGIcD1qh","properties":{"formattedCitation":"(2,21\\uc0\\u8211{}23)","plainCitation":"(2,21–23)","noteIndex":0},"citationItems":[{"id":5772,"uris":["http://zotero.org/users/8183159/items/FGC3ZDJI"],"itemData":{"id":5772,"type":"article-journal","abstract":"Many amphibians have declined globally due to introduction of the pathogenic fungus Batrachochytrium dendrobatidis (Bd). Hundreds of species, many in well-protected habitats, remain as small populations at risk of extinction. Currently the only proven conservation strategy is to maintain species in captivity to be reintroduced at a later date. However, methods to abate the disease in the wild are urgently needed so that reintroduced and wild animals can survive in the presence of Bd. Vaccination has been widely suggested as a potential strategy to improve survival. We used captive-bred offspring of critically endangered booroolong frogs (Litoria booroolongensis) to test if vaccination in the form of prior infection improves survival following re exposure. We infected frogs with a local Bd isolate, cleared infection after 30 days (d) using itraconazole just prior to the onset of clinical signs, and then re-exposed animals to Bd at 110 d. We found prior exposure had no effect on survival or infection intensities, clearly showing that real infections do not stimulate a protective adaptive immune response in this species. This result supports recent studies suggesting Bd may evade or suppress host immune functions. Our results suggest vaccination is unlikely to be useful in mitigating chytridiomycosis. However, survival of some individuals from all experimental groups indicates existence of protective innate immunity. Understanding and promoting this innate resistance holds potential for enabling species recovery.","citation-key":"Cashins2013","container-title":"PLoS ONE","DOI":"10.1371/journal.pone.0056747","ISSN":"19326203","issue":"2","note":"ISBN: 1932-6203","page":"1-7","PMID":"23451076","publisher":"Public Library of Science","title":"Prior Infection Does Not Improve Survival against the Amphibian Disease Chytridiomycosis","volume":"8","author":[{"family":"Cashins","given":"Scott D."},{"family":"Grogan","given":"Laura F."},{"family":"McFadden","given":"Michael"},{"family":"Hunter","given":"David"},{"family":"Harlow","given":"Peter S."},{"family":"Berger","given":"Lee"},{"family":"Skerratt","given":"Lee F."}],"editor":[{"family":"Gratwicke","given":"Brian"}],"issued":{"date-parts":[["2013",2,22]]}}},{"id":4781,"uris":["http://zotero.org/users/8183159/items/8VG2BFV2"],"itemData":{"id":4781,"type":"article-journal","abstract":"The emergence of the disease chytridiomycosis caused by the chytrid fungus Batrachochytrium dendrobatidis (Bd) has been implicated in dramatic global amphibian declines. While many species have undergone catastrophic declines and/or extinctions, others appear to be unaffected or persist at reduced frequencies after Bd outbreaks. The reasons behind this variance in disease outcomes are poorly understood: differences in host immune responses have been proposed, yet previous studies suggest a lack of robust immune responses to Bd in susceptible species. Here, we sequenced transcriptomes from clutch-mates of a highly susceptible amphibian, Atelopus zeteki, with different infection histories. We found significant changes in expression of numerous genes involved in innate and inflammatory responses in infected frogs, despite high susceptibility to chytridiomycosis. We show evidence of acquired immune responses generated against Bd, including increased expression of immunoglobulins and MHC genes. In addition, fungal-killing genes had significantly higher expression in frogs previously exposed to Bd compared to Bd-naïve frogs, including chitinase and serine-type proteases. However, our results appear to confirm recent in vitro evidence of immune suppression by Bd, demonstrated by decreased expression of lymphocyte genes in the spleen of infected compared to control frogs. We propose susceptibility to chytridiomycosis is not due to lack of Bd-specific immune responses, but instead is caused by failure of those responses to be effective. Ineffective immune pathway activation and timing of antibody production are discussed as potential mechanisms. However, in light of our findings, suppression of key immune responses by Bd is likely an important factor in the lethality of this fungus.","citation-key":"Ellison2014","container-title":"G3: Genes Genomes Genetics","DOI":"10.1534/g3.114.010744","ISSN":"2160-1836","issue":"July","note":"ISBN: 2160-1836","page":"1275-1289","PMID":"24841130","title":"Fighting a losing battle: Vigorous immune response countered by pathogen suppression of host defenses in the chytridiomycosis-susceptible frog &lt;i&gt; Atelopus zeteki &lt;/i&gt;","volume":"4","author":[{"family":"Ellison","given":"Amy R"},{"family":"Savage","given":"Anna E"},{"family":"DiRenzo","given":"Grace V"},{"family":"Langhammer","given":"Penny"},{"family":"Lips","given":"Karen R"},{"family":"Zamudio","given":"Kelly R"}],"issued":{"date-parts":[["2014"]]}}},{"id":5090,"uris":["http://zotero.org/users/8183159/items/FBV4NB2K"],"itemData":{"id":5090,"type":"article-journal","citation-key":"Hudson2016","container-title":"Biological Conservation","DOI":"10.1016/j.biocon.2015.12.041","ISSN":"00063207","page":"37-45","title":"In-situ itraconazole treatment improves survival rate during an amphibian chytridiomycosis epidemic","volume":"195","author":[{"family":"Hudson","given":"Michael A."},{"family":"Young","given":"Richard P."},{"family":"Lopez","given":"Javier"},{"family":"Martin","given":"Lloyd"},{"family":"Fenton","given":"Calvin"},{"family":"McCrea","given":"Rachel"},{"family":"Griffiths","given":"Richard A."},{"family":"Adams","given":"Sarah-Louise"},{"family":"Gray","given":"Gerard"},{"family":"Garcia","given":"Gerardo"},{"family":"Cunningham","given":"Andrew A."}],"issued":{"date-parts":[["2016",3]]}}},{"id":12454,"uris":["http://zotero.org/users/8183159/items/IUG3YV9Q"],"itemData":{"id":12454,"type":"article-journal","abstract":"Reintroductions may mitigate the effects of severe amphibian declines, but chytridiomycosis—the often-deadly disease caused by the fungal pathogen Batrachochytrium dendrobatidis (Bd)—can hinder these efforts. Exposing amphibians to the pathogen ex situ may improve disease outcomes post-release. We experimentally inoculated federally threatened California red-legged frogs (Rana draytonii) ex situ, cleared Bd infections, and then released them to the wild for monitoring in an area where Bd is present. Ex situ, previously exposed frogs had lower Bd loads than previously uninfected frogs, and all exposure groups, including previously uninfected frogs, naturally reduced their Bd loads in two independent experiments. After release to the wild, we observed no differences in field-contracted Bd infection among exposure groups. Treating post-metamorphic R. draytonii ex situ may not confer additional post-release benefit to this species in terms of chytridiomycosis burden. Our results, however, do not necessarily mirror Bd susceptibility throughout the amphibian life cycle, with other source populations that may have different Bd infection histories, or responses to different Bd strains. These results provide a clearer understanding of post-release disease responses of a threatened, Bd-susceptible species with prior pathogen exposure. Following ex situ experiments with in situ applications can provide a more comprehensive understanding of threat outcomes for declining species in reintroduction programs and strengthen critical links between ex situ and in situ conservation partners.","container-title":"Ecosphere","DOI":"10.1002/ecs2.4294","ISSN":"2150-8925","issue":"12","language":"en","license":"© 2022 The Authors. Ecosphere published by Wiley Periodicals LLC on behalf of The Ecological Society of America.","note":"_eprint: https://onlinelibrary.wiley.com/doi/pdf/10.1002/ecs2.4294","page":"e4294","source":"Wiley Online Library","title":"To treat or not to treat? Experimental pathogen exposure, treatment, and release of a threatened amphibian","title-short":"To treat or not to treat?","volume":"13","author":[{"family":"Adams","given":"Andrea J."},{"family":"Bushell","given":"Jessie"},{"family":"Grasso","given":"Robert L."}],"issued":{"date-parts":[["2022"]]}}}],"schema":"https://github.com/citation-style-language/schema/raw/master/csl-citation.json"} </w:instrText>
      </w:r>
      <w:r w:rsidR="00163D9D" w:rsidRPr="55308F7B">
        <w:rPr>
          <w:rFonts w:asciiTheme="minorHAnsi" w:hAnsiTheme="minorHAnsi" w:cstheme="minorBidi"/>
          <w:sz w:val="22"/>
          <w:szCs w:val="22"/>
        </w:rPr>
        <w:fldChar w:fldCharType="separate"/>
      </w:r>
      <w:r w:rsidR="00C91241" w:rsidRPr="00C91241">
        <w:rPr>
          <w:rFonts w:ascii="Calibri" w:eastAsiaTheme="minorHAnsi" w:hAnsiTheme="minorHAnsi" w:cs="Calibri"/>
          <w:sz w:val="22"/>
        </w:rPr>
        <w:t>(2,21–23)</w:t>
      </w:r>
      <w:r w:rsidR="00163D9D" w:rsidRPr="55308F7B">
        <w:rPr>
          <w:rFonts w:asciiTheme="minorHAnsi" w:hAnsiTheme="minorHAnsi" w:cstheme="minorBidi"/>
          <w:sz w:val="22"/>
          <w:szCs w:val="22"/>
        </w:rPr>
        <w:fldChar w:fldCharType="end"/>
      </w:r>
      <w:r w:rsidRPr="55308F7B">
        <w:rPr>
          <w:rFonts w:asciiTheme="minorHAnsi" w:hAnsiTheme="minorHAnsi" w:cstheme="minorBidi"/>
          <w:sz w:val="22"/>
          <w:szCs w:val="22"/>
        </w:rPr>
        <w:t xml:space="preserve">. Similarly, exposure to killed Bd or Bd products </w:t>
      </w:r>
      <w:r w:rsidR="00163D9D" w:rsidRPr="55308F7B">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sumupTC0","properties":{"formattedCitation":"(18,24)","plainCitation":"(18,24)","noteIndex":0},"citationItems":[{"id":4654,"uris":["http://zotero.org/users/8183159/items/WEBQ8I94"],"itemData":{"id":4654,"type":"article-journal","citation-key":"McMahon2014","container-title":"Nature","DOI":"10.1038/nature13491","ISSN":"0028-0836","issue":"7508","page":"224-227","publisher":"Nature Publishing Group","title":"Amphibians acquire resistance to live and dead fungus overcoming fungal immunosuppression","volume":"511","author":[{"family":"McMahon","given":"Taegan A."},{"family":"Sears","given":"Brittany F."},{"family":"Venesky","given":"Matthew D."},{"family":"Bessler","given":"Scott M."},{"family":"Brown","given":"Jenise M."},{"family":"Deutsch","given":"Kaitlin"},{"family":"Halstead","given":"Neal T."},{"family":"Lentz","given":"Garrett"},{"family":"Tenouri","given":"Nadia"},{"family":"Young","given":"Suzanne"},{"family":"Civitello","given":"David J."},{"family":"Ortega","given":"Nicole"},{"family":"Fites","given":"J. Scott"},{"family":"Reinert","given":"Laura K."},{"family":"Rollins-Smith","given":"Louise A."},{"family":"Raffel","given":"Thomas R."},{"family":"Rohr","given":"Jason R."}],"issued":{"date-parts":[["2014"]]}}},{"id":12457,"uris":["http://zotero.org/users/8183159/items/E2QTXULH"],"itemData":{"id":12457,"type":"article-journal","abstract":"Batrachochytrium dendrobatidis (Bd), an aquatic pathogenic fungus, is responsible for the decline of hundreds of amphibian species worldwide and negatively impacts biodiversity globally. Prophylactic exposure to the metabolites produced by Bd can provide protection for naïve tree frogs and reduce subsequent Bd infection intensity. Here, we used a response surface design crossing Bd metabolite prophylaxis concentration and exposure duration to determine how these factors modulate prophylactic protection against Bd in Pacific chorus frog (Pseudacris regilla) tadpoles (5 × 5 surface design) and metamorphs (3 × 3 surface design). We exposed individuals every weekday to one of five Bd metabolite concentrations or a water control for 1–5 weeks, after which all animals were challenged with live Bd to evaluate their susceptibility. Exposure to the Bd metabolite prophylaxis reduced Bd load and prevalence compared to the control for both the tadpoles and metamorphs. Increasing Bd metabolite prophylaxis concentration did not confer additional protection for either life stage, but increasing duration of exposure did benefit metamorphs by decreasing Bd prevalence but not Bd load. On average, control tadpoles and metamorphs had 66.2% and 99.4% higher Bd loads, respectively, than tadpoles and metamorphs exposed to any Bd metabolite prophylaxis. Additionally, Bd metabolite prophylaxis reduced Bd prevalence relative to controls in both tadpoles (20.5% vs. 56.3%, respectively) and metamorphs (21.9% vs. 87.5%, respectively). Synthesis and applications: The efficacy of short-term exposures of relatively low concentrations of Bd metabolites at reducing Bd infections suggests that this approach has the potential to be scaled up to field use to aid in disease mitigation and conservation. Our results, combined with additional research on Bd metabolite prophylaxis for other amphibian species, suggest that this strategy may represent a broadly useful tool to protect at-risk amphibian populations.","container-title":"Journal of Applied Ecology","DOI":"10.1111/1365-2664.14818","ISSN":"1365-2664","issue":"12","language":"en","license":"© 2024 The Author(s). Journal of Applied Ecology © 2024 British Ecological Society.","note":"_eprint: https://onlinelibrary.wiley.com/doi/pdf/10.1111/1365-2664.14818","page":"3139-3147","source":"Wiley Online Library","title":"Efficacy of Bd metabolite prophylaxis dose and duration on host defence against the deadly chytrid fungus &lt;i&gt;Batrachochytrium dendrobatidis&lt;/i&gt;","volume":"61","author":[{"family":"McMahon","given":"Taegan A."},{"family":"Garcia","given":"Alexis M."},{"family":"Malinias","given":"Aiza J."},{"family":"Monsalve","given":"Manuela"},{"family":"Muldro","given":"Liam C."},{"family":"Sisson","given":"Edin O."},{"family":"Johnson","given":"Pieter T. J."},{"family":"Rohr","given":"Jason R."},{"family":"Civitello","given":"David J."}],"issued":{"date-parts":[["2024"]]}}}],"schema":"https://github.com/citation-style-language/schema/raw/master/csl-citation.json"} </w:instrText>
      </w:r>
      <w:r w:rsidR="00163D9D" w:rsidRPr="55308F7B">
        <w:rPr>
          <w:rFonts w:asciiTheme="minorHAnsi" w:hAnsiTheme="minorHAnsi" w:cstheme="minorBidi"/>
          <w:sz w:val="22"/>
          <w:szCs w:val="22"/>
        </w:rPr>
        <w:fldChar w:fldCharType="separate"/>
      </w:r>
      <w:r w:rsidR="00C91241">
        <w:rPr>
          <w:rFonts w:asciiTheme="minorHAnsi" w:hAnsiTheme="minorHAnsi" w:cstheme="minorBidi"/>
          <w:sz w:val="22"/>
          <w:szCs w:val="22"/>
        </w:rPr>
        <w:t>(18,24)</w:t>
      </w:r>
      <w:r w:rsidR="00163D9D" w:rsidRPr="55308F7B">
        <w:rPr>
          <w:rFonts w:asciiTheme="minorHAnsi" w:hAnsiTheme="minorHAnsi" w:cstheme="minorBidi"/>
          <w:sz w:val="22"/>
          <w:szCs w:val="22"/>
        </w:rPr>
        <w:fldChar w:fldCharType="end"/>
      </w:r>
      <w:r w:rsidRPr="55308F7B">
        <w:rPr>
          <w:rFonts w:asciiTheme="minorHAnsi" w:hAnsiTheme="minorHAnsi" w:cstheme="minorBidi"/>
          <w:sz w:val="22"/>
          <w:szCs w:val="22"/>
        </w:rPr>
        <w:t xml:space="preserve"> has had beneficial effects in some studies but not others </w:t>
      </w:r>
      <w:r w:rsidR="006D3BE6">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{"citationID":"RMpIyCJp","properties":{"formattedCitation":"(14)","plainCitation":"(14)","noteIndex":0},"citationItems":[{"id":"jhYPt1yk/9p2WlWcM","uris":["http://zotero.org/groups/6008588/items/XZMBMNGB"],"itemData":{"id":18566,"type":"article-journal","container-title":"Royal Society Open Science","DOI":"10.1098/rsos.220810","ISSN":"2054-5703","issue":"2","note":"publisher: The Royal Society","title":"Immune priming prior to pathogen exposure sheds light on the relationship between host, microbiome and pathogen in disease","URL":"http://dx.doi.org/10.1098/rsos.220810","volume":"10","author":[{"family":"Kaganer","given":"Alyssa W."},{"family":"Ossiboff","given":"Robert J."},{"family":"Keith","given":"Nicole I."},{"family":"Schuler","given":"Krysten L."},{"family":"Comizzoli","given":"Pierre"},{"family":"Hare","given":"Matthew P."},{"family":"Fleischer","given":"Robert C."},{"family":"Gratwicke","given":"Brian"},{"family":"Bunting","given":"Elizabeth M."}],"issued":{"date-parts":[["2023",2]]}}}],"schema":"https://github.com/citation-style-language/schema/raw/master/csl-citation.json"} </w:instrText>
      </w:r>
      <w:r w:rsidR="006D3BE6">
        <w:rPr>
          <w:rFonts w:asciiTheme="minorHAnsi" w:hAnsiTheme="minorHAnsi" w:cstheme="minorBidi"/>
          <w:sz w:val="22"/>
          <w:szCs w:val="22"/>
        </w:rPr>
        <w:fldChar w:fldCharType="separate"/>
      </w:r>
      <w:r w:rsidR="00C91241">
        <w:rPr>
          <w:rFonts w:asciiTheme="minorHAnsi" w:hAnsiTheme="minorHAnsi" w:cstheme="minorBidi"/>
          <w:noProof/>
          <w:sz w:val="22"/>
          <w:szCs w:val="22"/>
        </w:rPr>
        <w:t>(14)</w:t>
      </w:r>
      <w:r w:rsidR="006D3BE6">
        <w:rPr>
          <w:rFonts w:asciiTheme="minorHAnsi" w:hAnsiTheme="minorHAnsi" w:cstheme="minorBidi"/>
          <w:sz w:val="22"/>
          <w:szCs w:val="22"/>
        </w:rPr>
        <w:fldChar w:fldCharType="end"/>
      </w:r>
      <w:r w:rsidRPr="55308F7B">
        <w:rPr>
          <w:rFonts w:asciiTheme="minorHAnsi" w:hAnsiTheme="minorHAnsi" w:cstheme="minorBidi"/>
          <w:sz w:val="22"/>
          <w:szCs w:val="22"/>
        </w:rPr>
        <w:t xml:space="preserve">. The precise mechanisms responsible for these disparate effects are not well characterized, but prophylaxis treatment was observed to increase the proportion of putatively anti-Bd bacteria in the skin microbiome in one study </w:t>
      </w:r>
      <w:r w:rsidR="00163D9D" w:rsidRPr="55308F7B">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{"citationID":"dwD9yWjz","properties":{"formattedCitation":"(25)","plainCitation":"(25)","noteIndex":0},"citationItems":[{"id":12459,"uris":["http://zotero.org/users/8183159/items/TETQZZXB"],"itemData":{"id":12459,"type":"article-journal","abstract":"With emerging diseases on the rise, there is an urgent need to identify and understand novel mechanisms of prophylactic protection in vertebrate hosts. Inducing resistance against emerging pathogens through prophylaxis is an ideal management strategy that may impact pathogens and their host-associated microbiome. The host microbiome is recognized as a critical component of immunity, but the effects of prophylactic inoculation on the microbiome are unknown. In this study, we investigate the effects of prophylaxis on host microbiome composition, focusing on the selection of anti-pathogenic microbes contributing to host acquired immunity in a model host–fungal disease system, amphibian chytridiomycosis. We inoculated larval Pseudacris regilla against the fungal pathogen Batrachochytrium dendrobatidis (Bd) with a Bd metabolite-based prophylactic. Increased prophylactic concentration and exposure duration were associated with significant increases in proportions of putatively Bd-inhibitory host-associated bacterial taxa, indicating a protective prophylactic-induced shift towards microbiome members that are antagonistic to Bd. Our findings are in accordance with the adaptive microbiome hypothesis, where exposure to a pathogen alters the microbiome to better cope with subsequent pathogen encounters. Our study advances research on the temporal dynamics of microbiome memory and the role of prophylaxis-induced shifts in microbiomes contributing to prophylaxis effectiveness.\nThis article is part of the theme issue ‘Amphibian immunity: stress, disease and ecoimmunology’.","container-title":"Philosophical Transactions of the Royal Society B: Biological Sciences","DOI":"10.1098/rstb.2022.0126","issue":"1882","page":"20220126","publisher":"Royal Society","source":"royalsocietypublishing.org (Atypon)","title":"Selection of an anti-pathogen skin microbiome following prophylaxis treatment in an amphibian model system","volume":"378","author":[{"family":"Siomko","given":"Samantha A."},{"family":"Greenspan","given":"Sasha E."},{"family":"Barnett","given":"K. M."},{"family":"Neely","given":"Wesley J."},{"family":"Chtarbanova","given":"Stanislava"},{"family":"Woodhams","given":"Douglas C."},{"family":"McMahon","given":"Taegan A."},{"family":"Becker","given":"C. Guilherme"}],"issued":{"date-parts":[["2023",6,12]]}}}],"schema":"https://github.com/citation-style-language/schema/raw/master/csl-citation.json"} </w:instrText>
      </w:r>
      <w:r w:rsidR="00163D9D" w:rsidRPr="55308F7B">
        <w:rPr>
          <w:rFonts w:asciiTheme="minorHAnsi" w:hAnsiTheme="minorHAnsi" w:cstheme="minorBidi"/>
          <w:sz w:val="22"/>
          <w:szCs w:val="22"/>
        </w:rPr>
        <w:fldChar w:fldCharType="separate"/>
      </w:r>
      <w:r w:rsidR="00C91241">
        <w:rPr>
          <w:rFonts w:asciiTheme="minorHAnsi" w:hAnsiTheme="minorHAnsi" w:cstheme="minorBidi"/>
          <w:sz w:val="22"/>
          <w:szCs w:val="22"/>
        </w:rPr>
        <w:t>(25)</w:t>
      </w:r>
      <w:r w:rsidR="00163D9D" w:rsidRPr="55308F7B">
        <w:rPr>
          <w:rFonts w:asciiTheme="minorHAnsi" w:hAnsiTheme="minorHAnsi" w:cstheme="minorBidi"/>
          <w:sz w:val="22"/>
          <w:szCs w:val="22"/>
        </w:rPr>
        <w:fldChar w:fldCharType="end"/>
      </w:r>
      <w:r w:rsidRPr="55308F7B">
        <w:rPr>
          <w:rFonts w:asciiTheme="minorHAnsi" w:hAnsiTheme="minorHAnsi" w:cstheme="minorBidi"/>
          <w:sz w:val="22"/>
          <w:szCs w:val="22"/>
        </w:rPr>
        <w:t xml:space="preserve">, indicating a potential mechanism for these observations.  </w:t>
      </w:r>
    </w:p>
    <w:p w14:paraId="1D69A7E6" w14:textId="77777777" w:rsidR="0028254D" w:rsidRPr="00D16989" w:rsidRDefault="0028254D" w:rsidP="00547AFA">
      <w:pPr>
        <w:spacing w:line="480" w:lineRule="auto"/>
        <w:rPr>
          <w:rFonts w:asciiTheme="minorHAnsi" w:hAnsiTheme="minorHAnsi" w:cstheme="minorHAnsi"/>
          <w:sz w:val="22"/>
          <w:szCs w:val="22"/>
        </w:rPr>
      </w:pPr>
    </w:p>
    <w:p w14:paraId="7210BF70" w14:textId="4991FB94" w:rsidR="001F25D9" w:rsidRPr="00D16989" w:rsidRDefault="55308F7B" w:rsidP="55308F7B">
      <w:pPr>
        <w:spacing w:line="480" w:lineRule="auto"/>
        <w:rPr>
          <w:rFonts w:asciiTheme="minorHAnsi" w:hAnsiTheme="minorHAnsi" w:cstheme="minorBidi"/>
          <w:sz w:val="22"/>
          <w:szCs w:val="22"/>
        </w:rPr>
      </w:pPr>
      <w:r w:rsidRPr="55308F7B">
        <w:rPr>
          <w:rFonts w:asciiTheme="minorHAnsi" w:hAnsiTheme="minorHAnsi" w:cstheme="minorBidi"/>
          <w:sz w:val="22"/>
          <w:szCs w:val="22"/>
        </w:rPr>
        <w:t xml:space="preserve">The immune response needed to fight fungal infections are complex. In frogs, one MHC-II β1 marker appears to be under strong selection for resistance to Bd </w:t>
      </w:r>
      <w:r w:rsidR="34EEDC54" w:rsidRPr="55308F7B">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{"citationID":"LV2zZHLv","properties":{"formattedCitation":"(26,27)","plainCitation":"(26,27)","noteIndex":0},"citationItems":[{"id":5283,"uris":["http://zotero.org/users/8183159/items/P7QJWES7"],"itemData":{"id":5283,"type":"article-journal","abstract":"The emerging amphibian disease chytridiomycosis is caused by the fungal pathogen Batrachochytrium dendrobatidis (Bd). Amphibian populations and species differ in susceptibility to Bd, yet we know surprisingly little about the genetic basis of this natural variation. MHC loci encode peptides that initiate acquired immunity in vertebrates, making them likely candidates for determining disease susceptibility. However, MHC genes have never been characterized in the context of chytridiomycosis. Here, we performed experimental Bd infections in laboratory-reared frogs collected from five populations that show natural variation in Bd susceptibility. We found that alleles of an expressed MHC class IIB locus associate with survival following Bd infection. Across populations, MHC heterozygosity was a significant predictor of survival. Within populations, MHC heterozygotes and individuals bearing MHC allele Q had a significantly reduced risk of death, and we detected a significant signal of positive selection along the evolutionary lineage leading to allele Q. Our findings demonstrate that immunogenetic variation affects chytridiomycosis survival under controlled experimental conditions, confirming that host genetic polymorphisms contribute to chytridiomycosis resistance.","citation-key":"Savage2011","container-title":"Proceedings of the National Academy of Sciences of the United States of America","DOI":"10.1073/pnas.1106893108","ISSN":"1091-6490","issue":"40","note":"ISBN: 1091-6490 (Electronic)\\r0027-8424 (Linking)","page":"16705-10","PMID":"21949385","publisher":"National Academy of Sciences","title":"MHC genotypes associate with resistance to a frog-killing fungus.","volume":"108","author":[{"family":"Savage","given":"Anna E"},{"family":"Zamudio","given":"Kelly R"}],"issued":{"date-parts":[["2011",10,4]]}}},{"id":4638,"uris":["http://zotero.org/users/8183159/items/KWJHP2R2"],"itemData":{"id":4638,"type":"article-journal","abstract":"The pathogenic chytrid fungus Batrachochytrium dendrobatidis (Bd) can cause precipitous population declines in its amphibian hosts. Responses of individuals to infection vary greatly with the capacity of their immune system to respond to the pathogen. We used a combination of comparative and experimental approaches to identify major histocompatibility complex class II (MHC-II) alleles encoding molecules that foster the survival of Bd-infected amphibians. We found that Bd-resistant amphibians across four continents share common amino acids in three binding pockets of the MHC-II antigen-binding groove. Moreover, strong signals of selection acting on these specific sites were evident among all species co-existing with the pathogen. In the laboratory, we experimentally inoculated Australian tree frogs with Bd to test how each binding pocket conformation influences disease resistance. Only the conformation of MHC-II pocket 9 of surviving subjects matched those of Bd-resistant species. This MHC-II conformation thus may determine amphibian resistance to Bd, although other MHC-II binding pockets also may contribute to resistance. Rescuing amphibian biodiversity will depend on our understanding of amphibian immune defence mechanisms against Bd. The identification of adaptive genetic markers for Bd resistance represents an important step forward towards that goal.","citation-key":"Bataille2015","container-title":"Proceedings of the Royal Society B: Biological Sciences","DOI":"10.1098/rspb.2014.3127","ISSN":"0962-8452","issue":"1805","page":"20143127-20143127","PMID":"25808889","title":"Susceptibility of amphibians to chytridiomycosis is associated with MHC class II conformation","volume":"282","author":[{"family":"Bataille","given":"A."},{"family":"Cashins","given":"S. D."},{"family":"Grogan","given":"L."},{"family":"Skerratt","given":"L. F."},{"family":"Hunter","given":"D."},{"family":"McFadden","given":"M."},{"family":"Scheele","given":"B."},{"family":"Brannelly","given":"L. A."},{"family":"Macris","given":"A."},{"family":"Harlow","given":"P. S."},{"family":"Bell","given":"S."},{"family":"Berger","given":"L."},{"family":"Waldman","given":"B."}],"issued":{"date-parts":[["2015"]]}}}],"schema":"https://github.com/citation-style-language/schema/raw/master/csl-citation.json"} </w:instrText>
      </w:r>
      <w:r w:rsidR="34EEDC54" w:rsidRPr="55308F7B">
        <w:rPr>
          <w:rFonts w:asciiTheme="minorHAnsi" w:hAnsiTheme="minorHAnsi" w:cstheme="minorBidi"/>
          <w:sz w:val="22"/>
          <w:szCs w:val="22"/>
        </w:rPr>
        <w:fldChar w:fldCharType="separate"/>
      </w:r>
      <w:r w:rsidR="00C91241">
        <w:rPr>
          <w:rFonts w:asciiTheme="minorHAnsi" w:hAnsiTheme="minorHAnsi" w:cstheme="minorBidi"/>
          <w:sz w:val="22"/>
          <w:szCs w:val="22"/>
        </w:rPr>
        <w:t>(26,27)</w:t>
      </w:r>
      <w:r w:rsidR="34EEDC54" w:rsidRPr="55308F7B">
        <w:rPr>
          <w:rFonts w:asciiTheme="minorHAnsi" w:hAnsiTheme="minorHAnsi" w:cstheme="minorBidi"/>
          <w:sz w:val="22"/>
          <w:szCs w:val="22"/>
        </w:rPr>
        <w:fldChar w:fldCharType="end"/>
      </w:r>
      <w:r w:rsidRPr="55308F7B">
        <w:rPr>
          <w:rFonts w:asciiTheme="minorHAnsi" w:hAnsiTheme="minorHAnsi" w:cstheme="minorBidi"/>
          <w:sz w:val="22"/>
          <w:szCs w:val="22"/>
        </w:rPr>
        <w:t xml:space="preserve">, and certain alleles could potentially prevent the harmful cascades associated with a damaging overactive immune response </w:t>
      </w:r>
      <w:r w:rsidR="34EEDC54" w:rsidRPr="55308F7B">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{"citationID":"MMbCd9p8","properties":{"formattedCitation":"(28)","plainCitation":"(28)","noteIndex":0},"citationItems":[{"id":5808,"uris":["http://zotero.org/users/8183159/items/CAM2NQZ3"],"itemData":{"id":5808,"type":"article-journal","abstract":"The disease chytridiomycosis caused by the fungus Bd has devastated amphibian populations worldwide. Functional genomic contributions to host susceptibility remain enigmatic and vary between species and populations. We conducted experimental Bd infections in Rana yavapaiensis, a species with intraspecific variation in chytridiomycosis susceptibility, to assess the skin and spleen transcriptomic response to infection over time. We predicted that increased immune gene expression would be associated with a positive disease outcome, but we instead found that surviving frogs had significantly reduced immune gene expression compared to susceptible frogs and to uninfected controls. MHC class IIβ gene expression was also significantly higher in susceptible frogs compared to surviving frogs. Furthermore, susceptible frogs expressed a significantly larger number of distinct class IIβ alleles, demonstrating a negative correlation between class IIβ expression, functional diversity, and survival. Expression of the MHC class IIβ locus previously associated with Bd disease outcomes was a significant predictor of Bd infection intensity at early infection stages but not at late infection stages, suggesting initial MHC-linked immune processes are important for ultimate disease outcomes. We infer through disease association and phylogenetic analysis that certain MHC variants are linked to the immune expression that was negatively associated with survival, and we hypothesize that frogs that did not express these alleles could better survive infections. Our study finds that MHC expression at early and late infection stages predicts Bd infection intensity, and suggests that generating a sustained immune response against Bd may be counterproductive for surviving chytridiomycosis in this partially susceptible species.","citation-key":"Savage2020","container-title":"Molecular Ecology","DOI":"10.1111/mec.15533","ISSN":"1365294X","issue":"15","page":"2889-2903","PMID":"32700351","publisher":"Blackwell Publishing Ltd","title":"Sustained immune activation is associated with susceptibility to the amphibian chytrid fungus","volume":"29","author":[{"family":"Savage","given":"Anna E."},{"family":"Gratwicke","given":"Brian"},{"family":"Hope","given":"Katharine"},{"family":"Fleischer","given":"Robert C."}],"issued":{"date-parts":[["2020",8,1]]}}}],"schema":"https://github.com/citation-style-language/schema/raw/master/csl-citation.json"} </w:instrText>
      </w:r>
      <w:r w:rsidR="34EEDC54" w:rsidRPr="55308F7B">
        <w:rPr>
          <w:rFonts w:asciiTheme="minorHAnsi" w:hAnsiTheme="minorHAnsi" w:cstheme="minorBidi"/>
          <w:sz w:val="22"/>
          <w:szCs w:val="22"/>
        </w:rPr>
        <w:fldChar w:fldCharType="separate"/>
      </w:r>
      <w:r w:rsidR="00C91241">
        <w:rPr>
          <w:rFonts w:asciiTheme="minorHAnsi" w:hAnsiTheme="minorHAnsi" w:cstheme="minorBidi"/>
          <w:noProof/>
          <w:sz w:val="22"/>
          <w:szCs w:val="22"/>
        </w:rPr>
        <w:t>(28)</w:t>
      </w:r>
      <w:r w:rsidR="34EEDC54" w:rsidRPr="55308F7B">
        <w:rPr>
          <w:rFonts w:asciiTheme="minorHAnsi" w:hAnsiTheme="minorHAnsi" w:cstheme="minorBidi"/>
          <w:sz w:val="22"/>
          <w:szCs w:val="22"/>
        </w:rPr>
        <w:fldChar w:fldCharType="end"/>
      </w:r>
      <w:r w:rsidRPr="55308F7B">
        <w:rPr>
          <w:rFonts w:asciiTheme="minorHAnsi" w:hAnsiTheme="minorHAnsi" w:cstheme="minorBidi"/>
          <w:sz w:val="22"/>
          <w:szCs w:val="22"/>
        </w:rPr>
        <w:t xml:space="preserve">. Overactive acquired immune responses are often associated with Bd susceptible species and individuals </w:t>
      </w:r>
      <w:bookmarkStart w:id="1" w:name="_Hlk199425966"/>
      <w:r w:rsidR="34EEDC54" w:rsidRPr="55308F7B">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{"citationID":"pWtOdL5Z","properties":{"formattedCitation":"(2,9,29)","plainCitation":"(2,9,29)","noteIndex":0},"citationItems":[{"id":4781,"uris":["http://zotero.org/users/8183159/items/8VG2BFV2"],"itemData":{"id":4781,"type":"article-journal","abstract":"The emergence of the disease chytridiomycosis caused by the chytrid fungus Batrachochytrium dendrobatidis (Bd) has been implicated in dramatic global amphibian declines. While many species have undergone catastrophic declines and/or extinctions, others appear to be unaffected or persist at reduced frequencies after Bd outbreaks. The reasons behind this variance in disease outcomes are poorly understood: differences in host immune responses have been proposed, yet previous studies suggest a lack of robust immune responses to Bd in susceptible species. Here, we sequenced transcriptomes from clutch-mates of a highly susceptible amphibian, Atelopus zeteki, with different infection histories. We found significant changes in expression of numerous genes involved in innate and inflammatory responses in infected frogs, despite high susceptibility to chytridiomycosis. We show evidence of acquired immune responses generated against Bd, including increased expression of immunoglobulins and MHC genes. In addition, fungal-killing genes had significantly higher expression in frogs previously exposed to Bd compared to Bd-naïve frogs, including chitinase and serine-type proteases. However, our results appear to confirm recent in vitro evidence of immune suppression by Bd, demonstrated by decreased expression of lymphocyte genes in the spleen of infected compared to control frogs. We propose susceptibility to chytridiomycosis is not due to lack of Bd-specific immune responses, but instead is caused by failure of those responses to be effective. Ineffective immune pathway activation and timing of antibody production are discussed as potential mechanisms. However, in light of our findings, suppression of key immune responses by Bd is likely an important factor in the lethality of this fungus.","citation-key":"Ellison2014","container-title":"G3: Genes Genomes Genetics","DOI":"10.1534/g3.114.010744","ISSN":"2160-1836","issue":"July","note":"ISBN: 2160-1836","page":"1275-1289","PMID":"24841130","title":"Fighting a losing battle: Vigorous immune response countered by pathogen suppression of host defenses in the chytridiomycosis-susceptible frog &lt;i&gt; Atelopus zeteki &lt;/i&gt;","volume":"4","author":[{"family":"Ellison","given":"Amy R"},{"family":"Savage","given":"Anna E"},{"family":"DiRenzo","given":"Grace V"},{"family":"Langhammer","given":"Penny"},{"family":"Lips","given":"Karen R"},{"family":"Zamudio","given":"Kelly R"}],"issued":{"date-parts":[["2014"]]}}},{"id":225,"uris":["http://zotero.org/users/8183159/items/Y7XNPKWL"],"itemData":{"id":225,"type":"article-journal","abstract":"The fungal skin disease, chytridiomycosis (caused by Batrachochytrium dendrobatidis and B. salamandrivorans), has caused amphibian declines and extinctions globally since its emergence. Characterizing the host immune response to chytridiomycosis has been a focus of study with the aim of disease mitigation. However, many aspects of the innate and adaptive arms of this response are still poorly understood, likely due to the wide range of species’ responses to infection. In this paper we provide an overview of expected immunological responses (with inference based on amphibian and mammalian immunology), together with a synthesis of current knowledge about these responses for the amphibian-chytridiomycosis system. We structure our review around four key immune stages: (1) the naïve immunocompetent state, (2) immune defenses that are always present (constitutive defenses), (3) mechanisms for recognition of a pathogen threat and innate immune defenses, and (4) adaptive immune responses. We also evaluate the current hot topics of immunosuppression and immunopathology in chytridiomycosis, and discuss their respective roles in pathogenesis. Our synthesis reveals that susceptibility to chytridiomycosis is likely to be multifactorial. Susceptible amphibians appear to have ineffective constitutive and innate defenses, and a late-stage response characterized by immunopathology and Bd-induced suppression of lymphocyte responses. Overall, we identify substantial gaps in current knowledge, particularly concerning the entire innate immune response (mechanisms of initial pathogen detection and possible immunoevasion by Bd, degree of activation and efficacy of the innate immune response, the unexpected absence of innate leukocyte infiltration, and the cause and role of late-stage immunopathology in pathogenesis). There are also gaps concerning most of the adaptive immune system (the relative importance of B and T cell responses for pathogen clearance, the capacity and extent of immunological memory, and specific mechanisms of pathogen-induced immunosuppression). Improving our capacity for amphibian immunological research will require selection of an appropriate Bd-susceptible model species, the development of taxon-specific affinity reagents and cell lines for functional assays, and the application of a suite of conventional and emerging immunological methods. Despite current knowledge gaps, immunological research remains a promising avenue for amphibian conservation management.","container-title":"Frontiers in Immunology","DOI":"10.3389/fimmu.2018.02536","ISSN":"1664-3224","journalAbbreviation":"Front. Immunol.","language":"English","publisher":"Frontiers","source":"Frontiers","title":"Review of the Amphibian Immune Response to Chytridiomycosis, and Future Directions","URL":"https://www.frontiersin.org/articles/10.3389/fimmu.2018.02536/full","volume":"9","author":[{"family":"Grogan","given":"Laura F."},{"family":"Robert","given":"Jacques"},{"family":"Berger","given":"Lee"},{"family":"Skerratt","given":"Lee F."},{"family":"Scheele","given":"Benjamin C."},{"family":"Castley","given":"J. Guy"},{"family":"Newell","given":"David A."},{"family":"McCallum","given":"Hamish I."}],"accessed":{"date-parts":[["2020",11,20]]},"issued":{"date-parts":[["2018"]]}}},{"id":12435,"uris":["http://zotero.org/users/8183159/items/S67Q7DPS"],"itemData":{"id":12435,"type":"article-journal","abstract":"Chytridiomycosis, the disease caused by the fungal pathogen Batrachochytrium dendrobatidis (Bd), has devastated global amphibian biodiversity. Nevertheless, some hosts avoid disease after Bd exposure even as others experience near-complete extirpation. It remains unclear whether the amphibian adaptive immune system plays a role in Bd defence. Here, we describe gene expression in two host species—one susceptible to chytridiomycosis and one resistant—following exposure to two Bd isolates that differ in virulence. Susceptible wood frogs (Rana sylvatica) had high infection loads and mortality when exposed to the more virulent Bd isolate but lower infection loads and no fatal disease when exposed to the less virulent isolate. Resistant American bullfrogs (R. catesbeiana) had high survival across treatments and rapidly cleared Bd infection or avoided infection entirely. We found widespread upregulation of adaptive immune genes and downregulation of important metabolic and cellular maintenance components in wood frogs after Bd exposure, whereas American bullfrogs showed little gene expression change and no evidence of an adaptive immune response. Wood frog responses suggest that adaptive immune defences may be ineffective against virulent Bd isolates that can cause rapid physiological dysfunction. By contrast, American bullfrogs exhibited robust resistance to Bd that is likely attributable, at least in part, to their continued upkeep of metabolic and skin integrity pathways as well as greater antimicrobial peptide expression compared to wood frogs, regardless of exposure. Greater understanding of these defences will ultimately help conservationists manage chytridiomycosis.","container-title":"Royal Society Open Science","DOI":"10.1098/rsos.170910","issue":"2","page":"170910","publisher":"Royal Society","source":"royalsocietypublishing.org (Atypon)","title":"Gene expression differs in susceptible and resistant amphibians exposed to &lt;i&gt;Batrachochytrium dendrobatidis&lt;/i&gt;","volume":"5","author":[{"family":"Eskew","given":"Evan A."},{"family":"Shock","given":"Barbara C."},{"family":"LaDouceur","given":"Elise E. B."},{"family":"Keel","given":"Kevin"},{"family":"Miller","given":"Michael R."},{"family":"Foley","given":"Janet E."},{"family":"Todd","given":"Brian D."}],"issued":{"date-parts":[["2018",2,28]]}}}],"schema":"https://github.com/citation-style-language/schema/raw/master/csl-citation.json"} </w:instrText>
      </w:r>
      <w:r w:rsidR="34EEDC54" w:rsidRPr="55308F7B">
        <w:rPr>
          <w:rFonts w:asciiTheme="minorHAnsi" w:hAnsiTheme="minorHAnsi" w:cstheme="minorBidi"/>
          <w:sz w:val="22"/>
          <w:szCs w:val="22"/>
        </w:rPr>
        <w:fldChar w:fldCharType="separate"/>
      </w:r>
      <w:r w:rsidR="00C91241">
        <w:rPr>
          <w:rFonts w:asciiTheme="minorHAnsi" w:hAnsiTheme="minorHAnsi" w:cstheme="minorBidi"/>
          <w:sz w:val="22"/>
          <w:szCs w:val="22"/>
        </w:rPr>
        <w:t>(2,9,29)</w:t>
      </w:r>
      <w:r w:rsidR="34EEDC54" w:rsidRPr="55308F7B">
        <w:rPr>
          <w:rFonts w:asciiTheme="minorHAnsi" w:hAnsiTheme="minorHAnsi" w:cstheme="minorBidi"/>
          <w:sz w:val="22"/>
          <w:szCs w:val="22"/>
        </w:rPr>
        <w:fldChar w:fldCharType="end"/>
      </w:r>
      <w:bookmarkEnd w:id="1"/>
      <w:r w:rsidRPr="55308F7B">
        <w:rPr>
          <w:rFonts w:asciiTheme="minorHAnsi" w:hAnsiTheme="minorHAnsi" w:cstheme="minorBidi"/>
          <w:sz w:val="22"/>
          <w:szCs w:val="22"/>
        </w:rPr>
        <w:t xml:space="preserve">. Bd-tolerant species, however, may have no response to the pathogen </w:t>
      </w:r>
      <w:r w:rsidR="34EEDC54" w:rsidRPr="55308F7B">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{"citationID":"ilIjVPlh","properties":{"formattedCitation":"(29)","plainCitation":"(29)","noteIndex":0},"citationItems":[{"id":12435,"uris":["http://zotero.org/users/8183159/items/S67Q7DPS"],"itemData":{"id":12435,"type":"article-journal","abstract":"Chytridiomycosis, the disease caused by the fungal pathogen Batrachochytrium dendrobatidis (Bd), has devastated global amphibian biodiversity. Nevertheless, some hosts avoid disease after Bd exposure even as others experience near-complete extirpation. It remains unclear whether the amphibian adaptive immune system plays a role in Bd defence. Here, we describe gene expression in two host species—one susceptible to chytridiomycosis and one resistant—following exposure to two Bd isolates that differ in virulence. Susceptible wood frogs (Rana sylvatica) had high infection loads and mortality when exposed to the more virulent Bd isolate but lower infection loads and no fatal disease when exposed to the less virulent isolate. Resistant American bullfrogs (R. catesbeiana) had high survival across treatments and rapidly cleared Bd infection or avoided infection entirely. We found widespread upregulation of adaptive immune genes and downregulation of important metabolic and cellular maintenance components in wood frogs after Bd exposure, whereas American bullfrogs showed little gene expression change and no evidence of an adaptive immune response. Wood frog responses suggest that adaptive immune defences may be ineffective against virulent Bd isolates that can cause rapid physiological dysfunction. By contrast, American bullfrogs exhibited robust resistance to Bd that is likely attributable, at least in part, to their continued upkeep of metabolic and skin integrity pathways as well as greater antimicrobial peptide expression compared to wood frogs, regardless of exposure. Greater understanding of these defences will ultimately help conservationists manage chytridiomycosis.","container-title":"Royal Society Open Science","DOI":"10.1098/rsos.170910","issue":"2","page":"170910","publisher":"Royal Society","source":"royalsocietypublishing.org (Atypon)","title":"Gene expression differs in susceptible and resistant amphibians exposed to &lt;i&gt;Batrachochytrium dendrobatidis&lt;/i&gt;","volume":"5","author":[{"family":"Eskew","given":"Evan A."},{"family":"Shock","given":"Barbara C."},{"family":"LaDouceur","given":"Elise E. B."},{"family":"Keel","given":"Kevin"},{"family":"Miller","given":"Michael R."},{"family":"Foley","given":"Janet E."},{"family":"Todd","given":"Brian D."}],"issued":{"date-parts":[["2018",2,28]]}}}],"schema":"https://github.com/citation-style-language/schema/raw/master/csl-citation.json"} </w:instrText>
      </w:r>
      <w:r w:rsidR="34EEDC54" w:rsidRPr="55308F7B">
        <w:rPr>
          <w:rFonts w:asciiTheme="minorHAnsi" w:hAnsiTheme="minorHAnsi" w:cstheme="minorBidi"/>
          <w:sz w:val="22"/>
          <w:szCs w:val="22"/>
        </w:rPr>
        <w:fldChar w:fldCharType="separate"/>
      </w:r>
      <w:r w:rsidR="00C91241">
        <w:rPr>
          <w:rFonts w:asciiTheme="minorHAnsi" w:hAnsiTheme="minorHAnsi" w:cstheme="minorBidi"/>
          <w:sz w:val="22"/>
          <w:szCs w:val="22"/>
        </w:rPr>
        <w:t>(29)</w:t>
      </w:r>
      <w:r w:rsidR="34EEDC54" w:rsidRPr="55308F7B">
        <w:rPr>
          <w:rFonts w:asciiTheme="minorHAnsi" w:hAnsiTheme="minorHAnsi" w:cstheme="minorBidi"/>
          <w:sz w:val="22"/>
          <w:szCs w:val="22"/>
        </w:rPr>
        <w:fldChar w:fldCharType="end"/>
      </w:r>
      <w:r w:rsidRPr="55308F7B">
        <w:rPr>
          <w:rFonts w:asciiTheme="minorHAnsi" w:hAnsiTheme="minorHAnsi" w:cstheme="minorBidi"/>
          <w:sz w:val="22"/>
          <w:szCs w:val="22"/>
        </w:rPr>
        <w:t xml:space="preserve">, or they upregulate immune genes upon initial exposure to the pathogen, </w:t>
      </w:r>
      <w:r w:rsidR="006D3BE6">
        <w:rPr>
          <w:rFonts w:asciiTheme="minorHAnsi" w:hAnsiTheme="minorHAnsi" w:cstheme="minorBidi"/>
          <w:sz w:val="22"/>
          <w:szCs w:val="22"/>
        </w:rPr>
        <w:t>then modulate</w:t>
      </w:r>
      <w:r w:rsidRPr="55308F7B">
        <w:rPr>
          <w:rFonts w:asciiTheme="minorHAnsi" w:hAnsiTheme="minorHAnsi" w:cstheme="minorBidi"/>
          <w:sz w:val="22"/>
          <w:szCs w:val="22"/>
        </w:rPr>
        <w:t xml:space="preserve"> these responses </w:t>
      </w:r>
      <w:r w:rsidR="006D3BE6">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{"citationID":"V86AxfsD","properties":{"formattedCitation":"(14)","plainCitation":"(14)","noteIndex":0},"citationItems":[{"id":"jhYPt1yk/9p2WlWcM","uris":["http://zotero.org/groups/6008588/items/XZMBMNGB"],"itemData":{"id":18566,"type":"article-journal","container-title":"Royal Society Open Science","DOI":"10.1098/rsos.220810","ISSN":"2054-5703","issue":"2","note":"publisher: The Royal Society","title":"Immune priming prior to pathogen exposure sheds light on the relationship between host, microbiome and pathogen in disease","URL":"http://dx.doi.org/10.1098/rsos.220810","volume":"10","author":[{"family":"Kaganer","given":"Alyssa W."},{"family":"Ossiboff","given":"Robert J."},{"family":"Keith","given":"Nicole I."},{"family":"Schuler","given":"Krysten L."},{"family":"Comizzoli","given":"Pierre"},{"family":"Hare","given":"Matthew P."},{"family":"Fleischer","given":"Robert C."},{"family":"Gratwicke","given":"Brian"},{"family":"Bunting","given":"Elizabeth M."}],"issued":{"date-parts":[["2023",2]]}}}],"schema":"https://github.com/citation-style-language/schema/raw/master/csl-citation.json"} </w:instrText>
      </w:r>
      <w:r w:rsidR="006D3BE6">
        <w:rPr>
          <w:rFonts w:asciiTheme="minorHAnsi" w:hAnsiTheme="minorHAnsi" w:cstheme="minorBidi"/>
          <w:sz w:val="22"/>
          <w:szCs w:val="22"/>
        </w:rPr>
        <w:fldChar w:fldCharType="separate"/>
      </w:r>
      <w:r w:rsidR="00C91241">
        <w:rPr>
          <w:rFonts w:asciiTheme="minorHAnsi" w:hAnsiTheme="minorHAnsi" w:cstheme="minorBidi"/>
          <w:noProof/>
          <w:sz w:val="22"/>
          <w:szCs w:val="22"/>
        </w:rPr>
        <w:t>(14)</w:t>
      </w:r>
      <w:r w:rsidR="006D3BE6">
        <w:rPr>
          <w:rFonts w:asciiTheme="minorHAnsi" w:hAnsiTheme="minorHAnsi" w:cstheme="minorBidi"/>
          <w:sz w:val="22"/>
          <w:szCs w:val="22"/>
        </w:rPr>
        <w:fldChar w:fldCharType="end"/>
      </w:r>
      <w:r w:rsidR="006D3BE6" w:rsidRPr="552FBC60">
        <w:rPr>
          <w:rFonts w:asciiTheme="minorHAnsi" w:hAnsiTheme="minorHAnsi" w:cstheme="minorBidi"/>
          <w:sz w:val="22"/>
          <w:szCs w:val="22"/>
        </w:rPr>
        <w:t xml:space="preserve">. </w:t>
      </w:r>
      <w:r w:rsidRPr="55308F7B">
        <w:rPr>
          <w:rFonts w:asciiTheme="minorHAnsi" w:hAnsiTheme="minorHAnsi" w:cstheme="minorBidi"/>
          <w:sz w:val="22"/>
          <w:szCs w:val="22"/>
        </w:rPr>
        <w:t>The present study was designed to test prior-exposure prophylaxis in a highly susceptible species and to understand the amphibian skin microbial-immune interface and its impact on Bd infection outcome.</w:t>
      </w:r>
    </w:p>
    <w:p w14:paraId="30C2B530" w14:textId="77777777" w:rsidR="0028254D" w:rsidRPr="00D16989" w:rsidRDefault="0028254D" w:rsidP="00547AFA">
      <w:pPr>
        <w:spacing w:line="480" w:lineRule="auto"/>
        <w:rPr>
          <w:rFonts w:asciiTheme="minorHAnsi" w:hAnsiTheme="minorHAnsi" w:cstheme="minorHAnsi"/>
          <w:b/>
          <w:bCs/>
          <w:sz w:val="22"/>
          <w:szCs w:val="22"/>
        </w:rPr>
      </w:pPr>
    </w:p>
    <w:p w14:paraId="2CD85121" w14:textId="7F335B79" w:rsidR="00C67E20" w:rsidRPr="00D16989" w:rsidRDefault="00922A23" w:rsidP="00547AFA">
      <w:pPr>
        <w:spacing w:line="480" w:lineRule="auto"/>
        <w:rPr>
          <w:rFonts w:asciiTheme="minorHAnsi" w:hAnsiTheme="minorHAnsi" w:cstheme="minorHAnsi"/>
          <w:b/>
          <w:bCs/>
          <w:sz w:val="22"/>
          <w:szCs w:val="22"/>
        </w:rPr>
      </w:pPr>
      <w:r w:rsidRPr="00D16989">
        <w:rPr>
          <w:rFonts w:asciiTheme="minorHAnsi" w:hAnsiTheme="minorHAnsi" w:cstheme="minorHAnsi"/>
          <w:b/>
          <w:bCs/>
          <w:sz w:val="22"/>
          <w:szCs w:val="22"/>
        </w:rPr>
        <w:t>Materials and m</w:t>
      </w:r>
      <w:r w:rsidR="00B629E3" w:rsidRPr="00D16989">
        <w:rPr>
          <w:rFonts w:asciiTheme="minorHAnsi" w:hAnsiTheme="minorHAnsi" w:cstheme="minorHAnsi"/>
          <w:b/>
          <w:bCs/>
          <w:sz w:val="22"/>
          <w:szCs w:val="22"/>
        </w:rPr>
        <w:t>ethods</w:t>
      </w:r>
    </w:p>
    <w:p w14:paraId="27970365" w14:textId="77777777" w:rsidR="00131550" w:rsidRPr="00D16989" w:rsidRDefault="00131550" w:rsidP="00547AFA">
      <w:pPr>
        <w:spacing w:line="480" w:lineRule="auto"/>
        <w:rPr>
          <w:rFonts w:asciiTheme="minorHAnsi" w:hAnsiTheme="minorHAnsi" w:cstheme="minorHAnsi"/>
          <w:b/>
          <w:bCs/>
          <w:sz w:val="22"/>
          <w:szCs w:val="22"/>
        </w:rPr>
      </w:pPr>
      <w:r w:rsidRPr="00D16989">
        <w:rPr>
          <w:rFonts w:asciiTheme="minorHAnsi" w:hAnsiTheme="minorHAnsi" w:cstheme="minorHAnsi"/>
          <w:b/>
          <w:bCs/>
          <w:sz w:val="22"/>
          <w:szCs w:val="22"/>
        </w:rPr>
        <w:t>Animal source and husbandry</w:t>
      </w:r>
    </w:p>
    <w:p w14:paraId="5E5F82AE" w14:textId="1D1D64E4" w:rsidR="00131550" w:rsidRPr="00D16989" w:rsidRDefault="7D70EA71" w:rsidP="7D70EA71">
      <w:pPr>
        <w:spacing w:after="240" w:line="480" w:lineRule="auto"/>
        <w:rPr>
          <w:rFonts w:ascii="Arial" w:eastAsia="Arial" w:hAnsi="Arial" w:cs="Arial"/>
          <w:color w:val="222222"/>
          <w:sz w:val="20"/>
          <w:szCs w:val="20"/>
        </w:rPr>
      </w:pPr>
      <w:r w:rsidRPr="7D70EA71">
        <w:rPr>
          <w:rFonts w:asciiTheme="minorHAnsi" w:hAnsiTheme="minorHAnsi" w:cstheme="minorBidi"/>
          <w:sz w:val="22"/>
          <w:szCs w:val="22"/>
        </w:rPr>
        <w:t xml:space="preserve">All </w:t>
      </w:r>
      <w:r w:rsidRPr="7D70EA71">
        <w:rPr>
          <w:rFonts w:asciiTheme="minorHAnsi" w:hAnsiTheme="minorHAnsi" w:cstheme="minorBidi"/>
          <w:i/>
          <w:iCs/>
          <w:sz w:val="22"/>
          <w:szCs w:val="22"/>
        </w:rPr>
        <w:t>A. glyph</w:t>
      </w:r>
      <w:r w:rsidRPr="7D70EA71">
        <w:rPr>
          <w:rFonts w:asciiTheme="minorHAnsi" w:hAnsiTheme="minorHAnsi" w:cstheme="minorBidi"/>
          <w:sz w:val="22"/>
          <w:szCs w:val="22"/>
        </w:rPr>
        <w:t xml:space="preserve">us were captive-bred, f2 generation offspring from a single sibling group representing 56 males and 14 females (ZIMS Global Accession Number: QJW21-01460, Local ID: ARC-AGLY-F2-5). The wild source population was originally collected from Cerro Pirre, Darién, Panama in 2010. During the experiment, the animals were fed a mixed diet of fruit flies and crickets </w:t>
      </w:r>
      <w:r w:rsidRPr="7D70EA71">
        <w:rPr>
          <w:rFonts w:asciiTheme="minorHAnsi" w:hAnsiTheme="minorHAnsi" w:cstheme="minorBidi"/>
          <w:i/>
          <w:iCs/>
          <w:sz w:val="22"/>
          <w:szCs w:val="22"/>
        </w:rPr>
        <w:t>ad libitum</w:t>
      </w:r>
      <w:r w:rsidRPr="7D70EA71">
        <w:rPr>
          <w:rFonts w:asciiTheme="minorHAnsi" w:hAnsiTheme="minorHAnsi" w:cstheme="minorBidi"/>
          <w:sz w:val="22"/>
          <w:szCs w:val="22"/>
        </w:rPr>
        <w:t xml:space="preserve"> dusted with a 50:50 mix of Repashy Vitamin A Plus and Calcium with Vitamins. Animals were housed individually at room temperature (mean = 23</w:t>
      </w:r>
      <w:r w:rsidRPr="7D70EA71">
        <w:rPr>
          <w:rFonts w:asciiTheme="minorHAnsi" w:hAnsiTheme="minorHAnsi" w:cstheme="minorBidi"/>
          <w:sz w:val="22"/>
          <w:szCs w:val="22"/>
          <w:vertAlign w:val="superscript"/>
        </w:rPr>
        <w:t xml:space="preserve"> </w:t>
      </w:r>
      <w:r w:rsidRPr="7D70EA71">
        <w:rPr>
          <w:rFonts w:asciiTheme="minorHAnsi" w:hAnsiTheme="minorHAnsi" w:cstheme="minorBidi"/>
          <w:sz w:val="22"/>
          <w:szCs w:val="22"/>
        </w:rPr>
        <w:t xml:space="preserve">°C, range = 17°C to 25 °C) in 8 L plastic enclosures containing an opaque plastic hide and unbleached paper towel substrate soaked in water and misted twice daily. The paper towel </w:t>
      </w:r>
      <w:r w:rsidRPr="7D70EA71">
        <w:rPr>
          <w:rFonts w:asciiTheme="minorHAnsi" w:hAnsiTheme="minorHAnsi" w:cstheme="minorBidi"/>
          <w:sz w:val="22"/>
          <w:szCs w:val="22"/>
        </w:rPr>
        <w:lastRenderedPageBreak/>
        <w:t xml:space="preserve">substrate was changed three times a week and enclosures were replaced weekly. The source of environmental microbes in these artificially clean enclosures would be derived primarily from the host frog maintaining its microbiome, but may also come from and fecal matter, crickets and fruit flies, reverse osmosis-reconstituted water and the paper towels.  </w:t>
      </w:r>
    </w:p>
    <w:p w14:paraId="7A6680CB" w14:textId="77777777" w:rsidR="0028254D" w:rsidRPr="00D16989" w:rsidRDefault="0028254D" w:rsidP="00547AFA">
      <w:pPr>
        <w:spacing w:line="480" w:lineRule="auto"/>
        <w:rPr>
          <w:rFonts w:asciiTheme="minorHAnsi" w:hAnsiTheme="minorHAnsi" w:cstheme="minorHAnsi"/>
          <w:i/>
          <w:iCs/>
          <w:sz w:val="22"/>
          <w:szCs w:val="22"/>
        </w:rPr>
      </w:pPr>
    </w:p>
    <w:p w14:paraId="79B4A9C6" w14:textId="48E0F2A0" w:rsidR="00595669" w:rsidRPr="00D16989" w:rsidRDefault="009D67B5" w:rsidP="6F8377C0">
      <w:pPr>
        <w:spacing w:line="480" w:lineRule="auto"/>
        <w:rPr>
          <w:rFonts w:asciiTheme="minorHAnsi" w:hAnsiTheme="minorHAnsi" w:cstheme="minorBidi"/>
          <w:b/>
          <w:bCs/>
          <w:sz w:val="22"/>
          <w:szCs w:val="22"/>
        </w:rPr>
      </w:pPr>
      <w:r>
        <w:rPr>
          <w:rFonts w:asciiTheme="minorHAnsi" w:hAnsiTheme="minorHAnsi" w:cstheme="minorBidi"/>
          <w:b/>
          <w:bCs/>
          <w:sz w:val="22"/>
          <w:szCs w:val="22"/>
        </w:rPr>
        <w:t xml:space="preserve">First </w:t>
      </w:r>
      <w:r w:rsidR="6F8377C0" w:rsidRPr="6F8377C0">
        <w:rPr>
          <w:rFonts w:asciiTheme="minorHAnsi" w:hAnsiTheme="minorHAnsi" w:cstheme="minorBidi"/>
          <w:b/>
          <w:bCs/>
          <w:sz w:val="22"/>
          <w:szCs w:val="22"/>
        </w:rPr>
        <w:t xml:space="preserve">Bd </w:t>
      </w:r>
      <w:r>
        <w:rPr>
          <w:rFonts w:asciiTheme="minorHAnsi" w:hAnsiTheme="minorHAnsi" w:cstheme="minorBidi"/>
          <w:b/>
          <w:bCs/>
          <w:sz w:val="22"/>
          <w:szCs w:val="22"/>
        </w:rPr>
        <w:t>treatment</w:t>
      </w:r>
      <w:r w:rsidR="6F8377C0" w:rsidRPr="6F8377C0">
        <w:rPr>
          <w:rFonts w:asciiTheme="minorHAnsi" w:hAnsiTheme="minorHAnsi" w:cstheme="minorBidi"/>
          <w:b/>
          <w:bCs/>
          <w:sz w:val="22"/>
          <w:szCs w:val="22"/>
        </w:rPr>
        <w:t xml:space="preserve"> and antifungal treatment</w:t>
      </w:r>
    </w:p>
    <w:p w14:paraId="518FE3E2" w14:textId="3C9C006F" w:rsidR="00184F55" w:rsidRDefault="55308F7B" w:rsidP="548C6D32">
      <w:pPr>
        <w:spacing w:line="480" w:lineRule="auto"/>
        <w:rPr>
          <w:rFonts w:asciiTheme="minorHAnsi" w:hAnsiTheme="minorHAnsi" w:cstheme="minorBidi"/>
          <w:sz w:val="22"/>
          <w:szCs w:val="22"/>
        </w:rPr>
      </w:pPr>
      <w:r w:rsidRPr="55308F7B">
        <w:rPr>
          <w:rFonts w:asciiTheme="minorHAnsi" w:hAnsiTheme="minorHAnsi" w:cstheme="minorBidi"/>
          <w:sz w:val="22"/>
          <w:szCs w:val="22"/>
        </w:rPr>
        <w:t xml:space="preserve">For Bd treatment 1, we infected 30 animals (Fig. 1) by removing them from their enclosures and placing them in low-profile deli cups containing 30 mL of water and </w:t>
      </w:r>
      <w:r w:rsidR="00626C31">
        <w:rPr>
          <w:rFonts w:asciiTheme="minorHAnsi" w:hAnsiTheme="minorHAnsi" w:cstheme="minorBidi"/>
          <w:sz w:val="22"/>
          <w:szCs w:val="22"/>
        </w:rPr>
        <w:t xml:space="preserve">a dose of </w:t>
      </w:r>
      <w:r w:rsidRPr="55308F7B">
        <w:rPr>
          <w:rFonts w:asciiTheme="minorHAnsi" w:hAnsiTheme="minorHAnsi" w:cstheme="minorBidi"/>
          <w:sz w:val="22"/>
          <w:szCs w:val="22"/>
        </w:rPr>
        <w:t>300 000 live Bd zoospores</w:t>
      </w:r>
      <w:r w:rsidR="00626C31">
        <w:rPr>
          <w:rFonts w:asciiTheme="minorHAnsi" w:hAnsiTheme="minorHAnsi" w:cstheme="minorBidi"/>
          <w:sz w:val="22"/>
          <w:szCs w:val="22"/>
        </w:rPr>
        <w:t xml:space="preserve"> applied via pipette directly to their dorsum.</w:t>
      </w:r>
      <w:r w:rsidR="00626C31" w:rsidRPr="00626C31">
        <w:rPr>
          <w:rFonts w:asciiTheme="minorHAnsi" w:hAnsiTheme="minorHAnsi" w:cstheme="minorBidi"/>
          <w:sz w:val="22"/>
          <w:szCs w:val="22"/>
        </w:rPr>
        <w:t xml:space="preserve"> We harvested Bd zoospores </w:t>
      </w:r>
      <w:r w:rsidR="00626C31" w:rsidRPr="55308F7B">
        <w:rPr>
          <w:rFonts w:asciiTheme="minorHAnsi" w:hAnsiTheme="minorHAnsi" w:cstheme="minorBidi"/>
          <w:sz w:val="22"/>
          <w:szCs w:val="22"/>
        </w:rPr>
        <w:t>(strain JEL 423, recently thawed from frozen isolate with minimal passage history)</w:t>
      </w:r>
      <w:r w:rsidR="00626C31">
        <w:rPr>
          <w:rFonts w:asciiTheme="minorHAnsi" w:hAnsiTheme="minorHAnsi" w:cstheme="minorBidi"/>
          <w:sz w:val="22"/>
          <w:szCs w:val="22"/>
        </w:rPr>
        <w:t xml:space="preserve"> </w:t>
      </w:r>
      <w:r w:rsidR="00626C31" w:rsidRPr="00626C31">
        <w:rPr>
          <w:rFonts w:asciiTheme="minorHAnsi" w:hAnsiTheme="minorHAnsi" w:cstheme="minorBidi"/>
          <w:sz w:val="22"/>
          <w:szCs w:val="22"/>
        </w:rPr>
        <w:t xml:space="preserve">from 1% tryptone agar media plates by flooding them with 3 mL of a sterile 1% tryptone water solution.  </w:t>
      </w:r>
      <w:r w:rsidRPr="55308F7B">
        <w:rPr>
          <w:rFonts w:asciiTheme="minorHAnsi" w:hAnsiTheme="minorHAnsi" w:cstheme="minorBidi"/>
          <w:sz w:val="22"/>
          <w:szCs w:val="22"/>
        </w:rPr>
        <w:t xml:space="preserve">The shallow container with a lid prevented </w:t>
      </w:r>
      <w:r w:rsidR="00625919">
        <w:rPr>
          <w:rFonts w:asciiTheme="minorHAnsi" w:hAnsiTheme="minorHAnsi" w:cstheme="minorBidi"/>
          <w:sz w:val="22"/>
          <w:szCs w:val="22"/>
        </w:rPr>
        <w:t xml:space="preserve">frogs from </w:t>
      </w:r>
      <w:r w:rsidRPr="55308F7B">
        <w:rPr>
          <w:rFonts w:asciiTheme="minorHAnsi" w:hAnsiTheme="minorHAnsi" w:cstheme="minorBidi"/>
          <w:sz w:val="22"/>
          <w:szCs w:val="22"/>
        </w:rPr>
        <w:t xml:space="preserve">climbing and the solution was gently swirled every </w:t>
      </w:r>
      <w:r w:rsidR="009E6AFA">
        <w:rPr>
          <w:rFonts w:asciiTheme="minorHAnsi" w:hAnsiTheme="minorHAnsi" w:cstheme="minorBidi"/>
          <w:sz w:val="22"/>
          <w:szCs w:val="22"/>
        </w:rPr>
        <w:t>30 min</w:t>
      </w:r>
      <w:r w:rsidRPr="55308F7B">
        <w:rPr>
          <w:rFonts w:asciiTheme="minorHAnsi" w:hAnsiTheme="minorHAnsi" w:cstheme="minorBidi"/>
          <w:sz w:val="22"/>
          <w:szCs w:val="22"/>
        </w:rPr>
        <w:t>. After 3 h the animals were returned to their enclosures with the 30 mL of Bd solution. All animals were placed in clean enclosures</w:t>
      </w:r>
      <w:r w:rsidR="00625919">
        <w:rPr>
          <w:rFonts w:asciiTheme="minorHAnsi" w:hAnsiTheme="minorHAnsi" w:cstheme="minorBidi"/>
          <w:sz w:val="22"/>
          <w:szCs w:val="22"/>
        </w:rPr>
        <w:t xml:space="preserve"> with no Bd</w:t>
      </w:r>
      <w:r w:rsidRPr="55308F7B">
        <w:rPr>
          <w:rFonts w:asciiTheme="minorHAnsi" w:hAnsiTheme="minorHAnsi" w:cstheme="minorBidi"/>
          <w:sz w:val="22"/>
          <w:szCs w:val="22"/>
        </w:rPr>
        <w:t xml:space="preserve"> after 24 h. In parallel, 30 animals from the same cohort were mock-infected (Fig. 1) as above but </w:t>
      </w:r>
      <w:r w:rsidR="0021684C">
        <w:rPr>
          <w:rFonts w:asciiTheme="minorHAnsi" w:hAnsiTheme="minorHAnsi" w:cstheme="minorBidi"/>
          <w:sz w:val="22"/>
          <w:szCs w:val="22"/>
        </w:rPr>
        <w:t>by washing plates without Bd</w:t>
      </w:r>
      <w:r w:rsidRPr="55308F7B">
        <w:rPr>
          <w:rFonts w:asciiTheme="minorHAnsi" w:hAnsiTheme="minorHAnsi" w:cstheme="minorBidi"/>
          <w:sz w:val="22"/>
          <w:szCs w:val="22"/>
        </w:rPr>
        <w:t>. One treatment group of 10 animals (untreated control) was not removed from their enclosure. Animals were monitored daily. Fourteen d</w:t>
      </w:r>
      <w:r w:rsidR="00B15051">
        <w:rPr>
          <w:rFonts w:asciiTheme="minorHAnsi" w:hAnsiTheme="minorHAnsi" w:cstheme="minorBidi"/>
          <w:sz w:val="22"/>
          <w:szCs w:val="22"/>
        </w:rPr>
        <w:t>ays</w:t>
      </w:r>
      <w:r w:rsidRPr="55308F7B">
        <w:rPr>
          <w:rFonts w:asciiTheme="minorHAnsi" w:hAnsiTheme="minorHAnsi" w:cstheme="minorBidi"/>
          <w:sz w:val="22"/>
          <w:szCs w:val="22"/>
        </w:rPr>
        <w:t xml:space="preserve"> after exposure, all Bd-challenged animals were swabbed and confirmed Bd positive with Bd qPCR (see methods below) and all the mock-infected frogs were confirmed Bd negative. On the day prior to the first Bd exposure, a microbiome swab was collected from all frogs to characterize both the bacterial and fungal communities on the skin (Fig. 1).</w:t>
      </w:r>
    </w:p>
    <w:p w14:paraId="437645A6" w14:textId="77777777" w:rsidR="00184F55" w:rsidRDefault="00184F55">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34A9DD23" w14:textId="77777777" w:rsidR="006F7318" w:rsidRPr="00D16989" w:rsidRDefault="006F7318" w:rsidP="00547AFA">
      <w:pPr>
        <w:spacing w:line="480" w:lineRule="auto"/>
        <w:rPr>
          <w:rFonts w:asciiTheme="minorHAnsi" w:hAnsiTheme="minorHAnsi" w:cstheme="minorHAnsi"/>
          <w:sz w:val="22"/>
          <w:szCs w:val="22"/>
        </w:rPr>
      </w:pPr>
    </w:p>
    <w:p w14:paraId="45DA6E81" w14:textId="47C982D5" w:rsidR="00B40979" w:rsidRDefault="004C1702" w:rsidP="00547AFA">
      <w:pPr>
        <w:spacing w:line="480" w:lineRule="auto"/>
        <w:rPr>
          <w:rFonts w:asciiTheme="minorHAnsi" w:hAnsiTheme="minorHAnsi" w:cstheme="minorHAnsi"/>
          <w:sz w:val="22"/>
          <w:szCs w:val="22"/>
        </w:rPr>
      </w:pPr>
      <w:r>
        <w:rPr>
          <w:rFonts w:asciiTheme="minorHAnsi" w:hAnsiTheme="minorHAnsi" w:cstheme="minorHAnsi"/>
          <w:noProof/>
          <w:sz w:val="22"/>
          <w:szCs w:val="22"/>
        </w:rPr>
        <w:drawing>
          <wp:inline distT="0" distB="0" distL="0" distR="0" wp14:anchorId="6B698906" wp14:editId="3C60A53C">
            <wp:extent cx="5943600" cy="4213225"/>
            <wp:effectExtent l="0" t="0" r="0" b="3175"/>
            <wp:docPr id="1090042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042605" name="Picture 1090042605"/>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4213225"/>
                    </a:xfrm>
                    <a:prstGeom prst="rect">
                      <a:avLst/>
                    </a:prstGeom>
                  </pic:spPr>
                </pic:pic>
              </a:graphicData>
            </a:graphic>
          </wp:inline>
        </w:drawing>
      </w:r>
    </w:p>
    <w:p w14:paraId="1867CA6C" w14:textId="028A5066" w:rsidR="00337BEE" w:rsidRPr="009D67B5" w:rsidRDefault="55308F7B" w:rsidP="55308F7B">
      <w:pPr>
        <w:spacing w:line="480" w:lineRule="auto"/>
        <w:rPr>
          <w:rFonts w:asciiTheme="minorHAnsi" w:hAnsiTheme="minorHAnsi" w:cstheme="minorBidi"/>
          <w:sz w:val="22"/>
          <w:szCs w:val="22"/>
        </w:rPr>
      </w:pPr>
      <w:r w:rsidRPr="55308F7B">
        <w:rPr>
          <w:rFonts w:asciiTheme="minorHAnsi" w:hAnsiTheme="minorHAnsi" w:cstheme="minorBidi"/>
          <w:b/>
          <w:bCs/>
          <w:sz w:val="22"/>
          <w:szCs w:val="22"/>
        </w:rPr>
        <w:t xml:space="preserve">Fig 1. </w:t>
      </w:r>
      <w:r w:rsidRPr="55308F7B">
        <w:rPr>
          <w:rFonts w:asciiTheme="minorHAnsi" w:hAnsiTheme="minorHAnsi" w:cstheme="minorBidi"/>
          <w:sz w:val="22"/>
          <w:szCs w:val="22"/>
        </w:rPr>
        <w:t>Experimental design</w:t>
      </w:r>
      <w:r w:rsidR="009D67B5">
        <w:rPr>
          <w:rFonts w:asciiTheme="minorHAnsi" w:hAnsiTheme="minorHAnsi" w:cstheme="minorBidi"/>
          <w:sz w:val="22"/>
          <w:szCs w:val="22"/>
        </w:rPr>
        <w:t xml:space="preserve"> and</w:t>
      </w:r>
      <w:r w:rsidRPr="55308F7B">
        <w:rPr>
          <w:rFonts w:asciiTheme="minorHAnsi" w:hAnsiTheme="minorHAnsi" w:cstheme="minorBidi"/>
          <w:sz w:val="22"/>
          <w:szCs w:val="22"/>
        </w:rPr>
        <w:t xml:space="preserve"> </w:t>
      </w:r>
      <w:r w:rsidR="009D67B5">
        <w:rPr>
          <w:rFonts w:asciiTheme="minorHAnsi" w:hAnsiTheme="minorHAnsi" w:cstheme="minorBidi"/>
          <w:sz w:val="22"/>
          <w:szCs w:val="22"/>
        </w:rPr>
        <w:t xml:space="preserve">sampling </w:t>
      </w:r>
      <w:r w:rsidRPr="55308F7B">
        <w:rPr>
          <w:rFonts w:asciiTheme="minorHAnsi" w:hAnsiTheme="minorHAnsi" w:cstheme="minorBidi"/>
          <w:sz w:val="22"/>
          <w:szCs w:val="22"/>
        </w:rPr>
        <w:t xml:space="preserve">timeline </w:t>
      </w:r>
      <w:r w:rsidR="004F371F">
        <w:rPr>
          <w:rFonts w:asciiTheme="minorHAnsi" w:hAnsiTheme="minorHAnsi" w:cstheme="minorBidi"/>
          <w:sz w:val="22"/>
          <w:szCs w:val="22"/>
        </w:rPr>
        <w:t>with</w:t>
      </w:r>
      <w:r w:rsidRPr="55308F7B">
        <w:rPr>
          <w:rFonts w:asciiTheme="minorHAnsi" w:hAnsiTheme="minorHAnsi" w:cstheme="minorBidi"/>
          <w:sz w:val="22"/>
          <w:szCs w:val="22"/>
        </w:rPr>
        <w:t xml:space="preserve"> Pirre Harlequin toad (</w:t>
      </w:r>
      <w:r w:rsidRPr="55308F7B">
        <w:rPr>
          <w:rFonts w:asciiTheme="minorHAnsi" w:hAnsiTheme="minorHAnsi" w:cstheme="minorBidi"/>
          <w:i/>
          <w:iCs/>
          <w:sz w:val="22"/>
          <w:szCs w:val="22"/>
        </w:rPr>
        <w:t>A</w:t>
      </w:r>
      <w:r w:rsidR="004F371F">
        <w:rPr>
          <w:rFonts w:asciiTheme="minorHAnsi" w:hAnsiTheme="minorHAnsi" w:cstheme="minorBidi"/>
          <w:i/>
          <w:iCs/>
          <w:sz w:val="22"/>
          <w:szCs w:val="22"/>
        </w:rPr>
        <w:t>.</w:t>
      </w:r>
      <w:r w:rsidRPr="55308F7B">
        <w:rPr>
          <w:rFonts w:asciiTheme="minorHAnsi" w:hAnsiTheme="minorHAnsi" w:cstheme="minorBidi"/>
          <w:i/>
          <w:iCs/>
          <w:sz w:val="22"/>
          <w:szCs w:val="22"/>
        </w:rPr>
        <w:t xml:space="preserve"> </w:t>
      </w:r>
      <w:proofErr w:type="spellStart"/>
      <w:r w:rsidRPr="55308F7B">
        <w:rPr>
          <w:rFonts w:asciiTheme="minorHAnsi" w:hAnsiTheme="minorHAnsi" w:cstheme="minorBidi"/>
          <w:i/>
          <w:iCs/>
          <w:sz w:val="22"/>
          <w:szCs w:val="22"/>
        </w:rPr>
        <w:t>glyphus</w:t>
      </w:r>
      <w:proofErr w:type="spellEnd"/>
      <w:r w:rsidRPr="55308F7B">
        <w:rPr>
          <w:rFonts w:asciiTheme="minorHAnsi" w:hAnsiTheme="minorHAnsi" w:cstheme="minorBidi"/>
          <w:sz w:val="22"/>
          <w:szCs w:val="22"/>
        </w:rPr>
        <w:t xml:space="preserve">) </w:t>
      </w:r>
      <w:r w:rsidR="004F371F">
        <w:rPr>
          <w:rFonts w:asciiTheme="minorHAnsi" w:hAnsiTheme="minorHAnsi" w:cstheme="minorBidi"/>
          <w:sz w:val="22"/>
          <w:szCs w:val="22"/>
        </w:rPr>
        <w:t xml:space="preserve">and </w:t>
      </w:r>
      <w:r w:rsidR="009D67B5">
        <w:rPr>
          <w:rFonts w:asciiTheme="minorHAnsi" w:hAnsiTheme="minorHAnsi" w:cstheme="minorBidi"/>
          <w:sz w:val="22"/>
          <w:szCs w:val="22"/>
        </w:rPr>
        <w:t>Bd</w:t>
      </w:r>
      <w:r w:rsidR="004F371F">
        <w:rPr>
          <w:rFonts w:asciiTheme="minorHAnsi" w:hAnsiTheme="minorHAnsi" w:cstheme="minorBidi"/>
          <w:sz w:val="22"/>
          <w:szCs w:val="22"/>
        </w:rPr>
        <w:t>.</w:t>
      </w:r>
      <w:r w:rsidR="009D67B5">
        <w:rPr>
          <w:rFonts w:asciiTheme="minorHAnsi" w:hAnsiTheme="minorHAnsi" w:cstheme="minorBidi"/>
          <w:sz w:val="22"/>
          <w:szCs w:val="22"/>
        </w:rPr>
        <w:t xml:space="preserve"> </w:t>
      </w:r>
      <w:r w:rsidR="004F371F">
        <w:rPr>
          <w:rFonts w:asciiTheme="minorHAnsi" w:hAnsiTheme="minorHAnsi" w:cstheme="minorBidi"/>
          <w:sz w:val="22"/>
          <w:szCs w:val="22"/>
        </w:rPr>
        <w:t>The entire experiment lasted 20</w:t>
      </w:r>
      <w:r w:rsidR="00396352">
        <w:rPr>
          <w:rFonts w:asciiTheme="minorHAnsi" w:hAnsiTheme="minorHAnsi" w:cstheme="minorBidi"/>
          <w:sz w:val="22"/>
          <w:szCs w:val="22"/>
        </w:rPr>
        <w:t>0</w:t>
      </w:r>
      <w:r w:rsidR="004F371F">
        <w:rPr>
          <w:rFonts w:asciiTheme="minorHAnsi" w:hAnsiTheme="minorHAnsi" w:cstheme="minorBidi"/>
          <w:sz w:val="22"/>
          <w:szCs w:val="22"/>
        </w:rPr>
        <w:t xml:space="preserve"> d and consisted of two experimental sections</w:t>
      </w:r>
      <w:r w:rsidR="00870846">
        <w:rPr>
          <w:rFonts w:asciiTheme="minorHAnsi" w:hAnsiTheme="minorHAnsi" w:cstheme="minorBidi"/>
          <w:sz w:val="22"/>
          <w:szCs w:val="22"/>
        </w:rPr>
        <w:t xml:space="preserve">, </w:t>
      </w:r>
      <w:r w:rsidR="004F371F">
        <w:rPr>
          <w:rFonts w:asciiTheme="minorHAnsi" w:hAnsiTheme="minorHAnsi" w:cstheme="minorBidi"/>
          <w:sz w:val="22"/>
          <w:szCs w:val="22"/>
        </w:rPr>
        <w:t xml:space="preserve">Bd treatment 1 and 2. </w:t>
      </w:r>
      <w:r w:rsidR="009D67B5">
        <w:rPr>
          <w:rFonts w:asciiTheme="minorHAnsi" w:hAnsiTheme="minorHAnsi" w:cstheme="minorBidi"/>
          <w:sz w:val="22"/>
          <w:szCs w:val="22"/>
        </w:rPr>
        <w:t xml:space="preserve">Bd treatment 1 included </w:t>
      </w:r>
      <w:r w:rsidR="004F371F">
        <w:rPr>
          <w:rFonts w:asciiTheme="minorHAnsi" w:hAnsiTheme="minorHAnsi" w:cstheme="minorBidi"/>
          <w:sz w:val="22"/>
          <w:szCs w:val="22"/>
        </w:rPr>
        <w:t>Bd and mock</w:t>
      </w:r>
      <w:r w:rsidR="009D67B5">
        <w:rPr>
          <w:rFonts w:asciiTheme="minorHAnsi" w:hAnsiTheme="minorHAnsi" w:cstheme="minorBidi"/>
          <w:sz w:val="22"/>
          <w:szCs w:val="22"/>
        </w:rPr>
        <w:t xml:space="preserve"> </w:t>
      </w:r>
      <w:r w:rsidR="004F371F">
        <w:rPr>
          <w:rFonts w:asciiTheme="minorHAnsi" w:hAnsiTheme="minorHAnsi" w:cstheme="minorBidi"/>
          <w:sz w:val="22"/>
          <w:szCs w:val="22"/>
        </w:rPr>
        <w:t>exposures at day 0</w:t>
      </w:r>
      <w:r w:rsidR="00870846">
        <w:rPr>
          <w:rFonts w:asciiTheme="minorHAnsi" w:hAnsiTheme="minorHAnsi" w:cstheme="minorBidi"/>
          <w:sz w:val="22"/>
          <w:szCs w:val="22"/>
        </w:rPr>
        <w:t xml:space="preserve"> (denoted by orange arrow)</w:t>
      </w:r>
      <w:r w:rsidR="009D67B5">
        <w:rPr>
          <w:rFonts w:asciiTheme="minorHAnsi" w:hAnsiTheme="minorHAnsi" w:cstheme="minorBidi"/>
          <w:sz w:val="22"/>
          <w:szCs w:val="22"/>
        </w:rPr>
        <w:t>, clearing infection with itraconazole</w:t>
      </w:r>
      <w:r w:rsidR="004F371F">
        <w:rPr>
          <w:rFonts w:asciiTheme="minorHAnsi" w:hAnsiTheme="minorHAnsi" w:cstheme="minorBidi"/>
          <w:sz w:val="22"/>
          <w:szCs w:val="22"/>
        </w:rPr>
        <w:t xml:space="preserve"> for 10 d</w:t>
      </w:r>
      <w:r w:rsidR="00870846">
        <w:rPr>
          <w:rFonts w:asciiTheme="minorHAnsi" w:hAnsiTheme="minorHAnsi" w:cstheme="minorBidi"/>
          <w:sz w:val="22"/>
          <w:szCs w:val="22"/>
        </w:rPr>
        <w:t xml:space="preserve"> (denoted by blue arrow)</w:t>
      </w:r>
      <w:r w:rsidR="004F371F">
        <w:rPr>
          <w:rFonts w:asciiTheme="minorHAnsi" w:hAnsiTheme="minorHAnsi" w:cstheme="minorBidi"/>
          <w:sz w:val="22"/>
          <w:szCs w:val="22"/>
        </w:rPr>
        <w:t>, swabbing frogs for Bd and microbiomes on multiple days</w:t>
      </w:r>
      <w:r w:rsidR="0027335F">
        <w:rPr>
          <w:rFonts w:asciiTheme="minorHAnsi" w:hAnsiTheme="minorHAnsi" w:cstheme="minorBidi"/>
          <w:sz w:val="22"/>
          <w:szCs w:val="22"/>
        </w:rPr>
        <w:t xml:space="preserve"> (denoted by black arrow</w:t>
      </w:r>
      <w:r w:rsidR="0034760E">
        <w:rPr>
          <w:rFonts w:asciiTheme="minorHAnsi" w:hAnsiTheme="minorHAnsi" w:cstheme="minorBidi"/>
          <w:sz w:val="22"/>
          <w:szCs w:val="22"/>
        </w:rPr>
        <w:t>s</w:t>
      </w:r>
      <w:r w:rsidR="0027335F">
        <w:rPr>
          <w:rFonts w:asciiTheme="minorHAnsi" w:hAnsiTheme="minorHAnsi" w:cstheme="minorBidi"/>
          <w:sz w:val="22"/>
          <w:szCs w:val="22"/>
        </w:rPr>
        <w:t>)</w:t>
      </w:r>
      <w:r w:rsidR="004F371F">
        <w:rPr>
          <w:rFonts w:asciiTheme="minorHAnsi" w:hAnsiTheme="minorHAnsi" w:cstheme="minorBidi"/>
          <w:sz w:val="22"/>
          <w:szCs w:val="22"/>
        </w:rPr>
        <w:t xml:space="preserve"> and concluded at day 118. Bd treatment 2 included Bd and mock exposures at day 0 within this experimental section, toe clips for gene expression at day 14 </w:t>
      </w:r>
      <w:r w:rsidR="00491010">
        <w:rPr>
          <w:rFonts w:asciiTheme="minorHAnsi" w:hAnsiTheme="minorHAnsi" w:cstheme="minorBidi"/>
          <w:sz w:val="22"/>
          <w:szCs w:val="22"/>
        </w:rPr>
        <w:t xml:space="preserve">(TP1) </w:t>
      </w:r>
      <w:r w:rsidR="004F371F">
        <w:rPr>
          <w:rFonts w:asciiTheme="minorHAnsi" w:hAnsiTheme="minorHAnsi" w:cstheme="minorBidi"/>
          <w:sz w:val="22"/>
          <w:szCs w:val="22"/>
        </w:rPr>
        <w:t>and day 28</w:t>
      </w:r>
      <w:r w:rsidR="00832CF1">
        <w:rPr>
          <w:rFonts w:asciiTheme="minorHAnsi" w:hAnsiTheme="minorHAnsi" w:cstheme="minorBidi"/>
          <w:sz w:val="22"/>
          <w:szCs w:val="22"/>
        </w:rPr>
        <w:t xml:space="preserve"> </w:t>
      </w:r>
      <w:r w:rsidR="00491010">
        <w:rPr>
          <w:rFonts w:asciiTheme="minorHAnsi" w:hAnsiTheme="minorHAnsi" w:cstheme="minorBidi"/>
          <w:sz w:val="22"/>
          <w:szCs w:val="22"/>
        </w:rPr>
        <w:t xml:space="preserve">(TP2) </w:t>
      </w:r>
      <w:r w:rsidR="00832CF1">
        <w:rPr>
          <w:rFonts w:asciiTheme="minorHAnsi" w:hAnsiTheme="minorHAnsi" w:cstheme="minorBidi"/>
          <w:sz w:val="22"/>
          <w:szCs w:val="22"/>
        </w:rPr>
        <w:t>(denoted by green arrows)</w:t>
      </w:r>
      <w:r w:rsidR="004F371F">
        <w:rPr>
          <w:rFonts w:asciiTheme="minorHAnsi" w:hAnsiTheme="minorHAnsi" w:cstheme="minorBidi"/>
          <w:sz w:val="22"/>
          <w:szCs w:val="22"/>
        </w:rPr>
        <w:t>, swabbing frogs for Bd and microbiomes on multiple days</w:t>
      </w:r>
      <w:r w:rsidR="00C91241">
        <w:rPr>
          <w:rFonts w:asciiTheme="minorHAnsi" w:hAnsiTheme="minorHAnsi" w:cstheme="minorBidi"/>
          <w:sz w:val="22"/>
          <w:szCs w:val="22"/>
        </w:rPr>
        <w:t xml:space="preserve">, </w:t>
      </w:r>
      <w:r w:rsidR="004F371F">
        <w:rPr>
          <w:rFonts w:asciiTheme="minorHAnsi" w:hAnsiTheme="minorHAnsi" w:cstheme="minorBidi"/>
          <w:sz w:val="22"/>
          <w:szCs w:val="22"/>
        </w:rPr>
        <w:t>and concluded at day 82.</w:t>
      </w:r>
    </w:p>
    <w:p w14:paraId="2DD85CA3" w14:textId="77777777" w:rsidR="00337BEE" w:rsidRPr="00337BEE" w:rsidRDefault="00337BEE" w:rsidP="00547AFA">
      <w:pPr>
        <w:spacing w:line="480" w:lineRule="auto"/>
        <w:rPr>
          <w:rFonts w:asciiTheme="minorHAnsi" w:hAnsiTheme="minorHAnsi" w:cstheme="minorHAnsi"/>
          <w:b/>
          <w:bCs/>
          <w:sz w:val="22"/>
          <w:szCs w:val="22"/>
        </w:rPr>
      </w:pPr>
    </w:p>
    <w:p w14:paraId="241DA4F5" w14:textId="77777777" w:rsidR="00184F55" w:rsidRDefault="00184F55">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0B652AEB" w14:textId="6DE98989" w:rsidR="006F7318" w:rsidRPr="00D16989" w:rsidRDefault="55308F7B" w:rsidP="2C51EBB5">
      <w:pPr>
        <w:spacing w:line="480" w:lineRule="auto"/>
        <w:rPr>
          <w:rFonts w:asciiTheme="minorHAnsi" w:hAnsiTheme="minorHAnsi" w:cstheme="minorBidi"/>
          <w:sz w:val="22"/>
          <w:szCs w:val="22"/>
        </w:rPr>
      </w:pPr>
      <w:r w:rsidRPr="55308F7B">
        <w:rPr>
          <w:rFonts w:asciiTheme="minorHAnsi" w:hAnsiTheme="minorHAnsi" w:cstheme="minorBidi"/>
          <w:sz w:val="22"/>
          <w:szCs w:val="22"/>
        </w:rPr>
        <w:lastRenderedPageBreak/>
        <w:t xml:space="preserve">Following confirmation of infection, animals in all treatments except the untreated control received an antifungal treatment. Animals were removed from their enclosures and bathed in a 0.005 % aqueous itraconazole solution for 10 minutes for 10 consecutive days on experiment day 18 to day 28 </w:t>
      </w:r>
      <w:r w:rsidR="006F7318" w:rsidRPr="55308F7B">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REJ0SQVS","properties":{"formattedCitation":"(30)","plainCitation":"(30)","noteIndex":0},"citationItems":[{"id":4421,"uris":["http://zotero.org/users/8183159/items/C54DPVGG"],"itemData":{"id":4421,"type":"article-journal","citation-key":"Baitchman2013","container-title":"Vet Clin Exot Anim","DOI":"10.1016/j.cvex.2013.05.009","page":"669-685","title":"Pathogenesis, diagnosis and treatment of amphibian chytridiomycosis","volume":"16","author":[{"family":"Baitchman","given":"Eric J"},{"family":"Pessier","given":"AP"}],"issued":{"date-parts":[["2013"]]}}}],"schema":"https://github.com/citation-style-language/schema/raw/master/csl-citation.json"} </w:instrText>
      </w:r>
      <w:r w:rsidR="006F7318" w:rsidRPr="55308F7B">
        <w:rPr>
          <w:rFonts w:asciiTheme="minorHAnsi" w:hAnsiTheme="minorHAnsi" w:cstheme="minorBidi"/>
          <w:sz w:val="22"/>
          <w:szCs w:val="22"/>
        </w:rPr>
        <w:fldChar w:fldCharType="separate"/>
      </w:r>
      <w:r w:rsidR="00C91241">
        <w:rPr>
          <w:rFonts w:asciiTheme="minorHAnsi" w:hAnsiTheme="minorHAnsi" w:cstheme="minorBidi"/>
          <w:noProof/>
          <w:sz w:val="22"/>
          <w:szCs w:val="22"/>
        </w:rPr>
        <w:t>(30)</w:t>
      </w:r>
      <w:r w:rsidR="006F7318" w:rsidRPr="55308F7B">
        <w:rPr>
          <w:rFonts w:asciiTheme="minorHAnsi" w:hAnsiTheme="minorHAnsi" w:cstheme="minorBidi"/>
          <w:sz w:val="22"/>
          <w:szCs w:val="22"/>
        </w:rPr>
        <w:fldChar w:fldCharType="end"/>
      </w:r>
      <w:r w:rsidRPr="55308F7B">
        <w:rPr>
          <w:rFonts w:asciiTheme="minorHAnsi" w:hAnsiTheme="minorHAnsi" w:cstheme="minorBidi"/>
          <w:sz w:val="22"/>
          <w:szCs w:val="22"/>
        </w:rPr>
        <w:t>. No mortality was observed in any animals. After treatment, all animals were tested for Bd on experiment days 39 and 46, and all animals in all treatments subsequently tested negative for the pathogen. On days 46 and 118 in Bd treatment 1 (18 and 90 d after itraconazole treatment ended, respectively) a microbiome swab was collected from all frogs to characterize both the bacterial and fungal communities on the skin.</w:t>
      </w:r>
    </w:p>
    <w:p w14:paraId="432C21E8" w14:textId="77777777" w:rsidR="006F7318" w:rsidRPr="00D16989" w:rsidRDefault="006F7318" w:rsidP="00547AFA">
      <w:pPr>
        <w:spacing w:line="480" w:lineRule="auto"/>
        <w:rPr>
          <w:rFonts w:asciiTheme="minorHAnsi" w:hAnsiTheme="minorHAnsi" w:cstheme="minorHAnsi"/>
          <w:i/>
          <w:iCs/>
          <w:sz w:val="22"/>
          <w:szCs w:val="22"/>
        </w:rPr>
      </w:pPr>
    </w:p>
    <w:p w14:paraId="0F1DA564" w14:textId="46DD3939" w:rsidR="006F7318" w:rsidRPr="00D16989" w:rsidRDefault="00387746" w:rsidP="6F8377C0">
      <w:pPr>
        <w:spacing w:line="480" w:lineRule="auto"/>
        <w:rPr>
          <w:rFonts w:asciiTheme="minorHAnsi" w:hAnsiTheme="minorHAnsi" w:cstheme="minorBidi"/>
          <w:b/>
          <w:bCs/>
          <w:sz w:val="22"/>
          <w:szCs w:val="22"/>
        </w:rPr>
      </w:pPr>
      <w:r>
        <w:rPr>
          <w:rFonts w:asciiTheme="minorHAnsi" w:hAnsiTheme="minorHAnsi" w:cstheme="minorBidi"/>
          <w:b/>
          <w:bCs/>
          <w:sz w:val="22"/>
          <w:szCs w:val="22"/>
        </w:rPr>
        <w:t>Second Bd treatment</w:t>
      </w:r>
      <w:r w:rsidR="6F8377C0" w:rsidRPr="6F8377C0">
        <w:rPr>
          <w:rFonts w:asciiTheme="minorHAnsi" w:hAnsiTheme="minorHAnsi" w:cstheme="minorBidi"/>
          <w:b/>
          <w:bCs/>
          <w:sz w:val="22"/>
          <w:szCs w:val="22"/>
        </w:rPr>
        <w:t xml:space="preserve">, microbiome and tissue collection </w:t>
      </w:r>
    </w:p>
    <w:p w14:paraId="78132348" w14:textId="18ACFD6C" w:rsidR="006F7318" w:rsidRPr="00D16989" w:rsidRDefault="55308F7B" w:rsidP="4ACBA811">
      <w:pPr>
        <w:spacing w:line="480" w:lineRule="auto"/>
        <w:rPr>
          <w:rFonts w:asciiTheme="minorHAnsi" w:hAnsiTheme="minorHAnsi" w:cstheme="minorBidi"/>
          <w:sz w:val="22"/>
          <w:szCs w:val="22"/>
        </w:rPr>
      </w:pPr>
      <w:r w:rsidRPr="55308F7B">
        <w:rPr>
          <w:rFonts w:asciiTheme="minorHAnsi" w:hAnsiTheme="minorHAnsi" w:cstheme="minorBidi"/>
          <w:sz w:val="22"/>
          <w:szCs w:val="22"/>
        </w:rPr>
        <w:t>For Bd treatment 2, on day</w:t>
      </w:r>
      <w:r w:rsidR="00B15051">
        <w:rPr>
          <w:rFonts w:asciiTheme="minorHAnsi" w:hAnsiTheme="minorHAnsi" w:cstheme="minorBidi"/>
          <w:sz w:val="22"/>
          <w:szCs w:val="22"/>
        </w:rPr>
        <w:t>s</w:t>
      </w:r>
      <w:r w:rsidRPr="55308F7B">
        <w:rPr>
          <w:rFonts w:asciiTheme="minorHAnsi" w:hAnsiTheme="minorHAnsi" w:cstheme="minorBidi"/>
          <w:sz w:val="22"/>
          <w:szCs w:val="22"/>
        </w:rPr>
        <w:t xml:space="preserve"> 119, 20 prior infected and 20 naïve animals were exposed to live Bd (Bd-Bd and mock-Bd) and 10 animals from each group were mock-infected (Bd-mock and mock-mock) (Fig. 1). This counts as day 0 for the second exposure. Fourteen days following reinfection (TP1), all animals were swabbed for microbiome and Bd then toe clipped using scissors cleaned by immersing in bleach, wiping and rinsing with clean water, then dried and wiped with RNase away. All surfaces in the sample collection area were thoroughly cleaned</w:t>
      </w:r>
      <w:r w:rsidR="009874AD">
        <w:rPr>
          <w:rFonts w:asciiTheme="minorHAnsi" w:hAnsiTheme="minorHAnsi" w:cstheme="minorBidi"/>
          <w:sz w:val="22"/>
          <w:szCs w:val="22"/>
        </w:rPr>
        <w:t xml:space="preserve">, then dried </w:t>
      </w:r>
      <w:r w:rsidRPr="55308F7B">
        <w:rPr>
          <w:rFonts w:asciiTheme="minorHAnsi" w:hAnsiTheme="minorHAnsi" w:cstheme="minorBidi"/>
          <w:sz w:val="22"/>
          <w:szCs w:val="22"/>
        </w:rPr>
        <w:t>and wiped down with RNase away. Toe clips were placed in RNAlater (</w:t>
      </w:r>
      <w:proofErr w:type="spellStart"/>
      <w:r w:rsidRPr="55308F7B">
        <w:rPr>
          <w:rFonts w:asciiTheme="minorHAnsi" w:hAnsiTheme="minorHAnsi" w:cstheme="minorBidi"/>
          <w:sz w:val="22"/>
          <w:szCs w:val="22"/>
        </w:rPr>
        <w:t>Thermo</w:t>
      </w:r>
      <w:proofErr w:type="spellEnd"/>
      <w:r w:rsidRPr="55308F7B">
        <w:rPr>
          <w:rFonts w:asciiTheme="minorHAnsi" w:hAnsiTheme="minorHAnsi" w:cstheme="minorBidi"/>
          <w:sz w:val="22"/>
          <w:szCs w:val="22"/>
        </w:rPr>
        <w:t xml:space="preserve"> Fisher Scientific, USA) for 24 h at room temperature, then frozen to –80 °C. After the first death due to chytridiomycosis on day 29 following Bd treatment 2 (TP2), Bd and microbiome swabs were taken, and a second toe clip was taken from all experimental animals. Surviving frogs were also swabbed for Bd on days 36, 43, 64 and 71 after the Bd treatment 2.</w:t>
      </w:r>
    </w:p>
    <w:p w14:paraId="349406DA" w14:textId="77777777" w:rsidR="0028254D" w:rsidRPr="00D16989" w:rsidRDefault="0028254D" w:rsidP="00547AFA">
      <w:pPr>
        <w:spacing w:line="480" w:lineRule="auto"/>
        <w:rPr>
          <w:rFonts w:asciiTheme="minorHAnsi" w:hAnsiTheme="minorHAnsi" w:cstheme="minorHAnsi"/>
          <w:i/>
          <w:iCs/>
          <w:sz w:val="22"/>
          <w:szCs w:val="22"/>
        </w:rPr>
      </w:pPr>
    </w:p>
    <w:p w14:paraId="1DF4E989" w14:textId="147B9A20" w:rsidR="00A24A6D" w:rsidRPr="00D16989" w:rsidRDefault="00FF29D4" w:rsidP="00547AFA">
      <w:pPr>
        <w:spacing w:line="480" w:lineRule="auto"/>
        <w:rPr>
          <w:rFonts w:asciiTheme="minorHAnsi" w:hAnsiTheme="minorHAnsi" w:cstheme="minorHAnsi"/>
          <w:b/>
          <w:bCs/>
          <w:sz w:val="22"/>
          <w:szCs w:val="22"/>
        </w:rPr>
      </w:pPr>
      <w:r w:rsidRPr="00D16989">
        <w:rPr>
          <w:rFonts w:asciiTheme="minorHAnsi" w:hAnsiTheme="minorHAnsi" w:cstheme="minorHAnsi"/>
          <w:b/>
          <w:bCs/>
          <w:sz w:val="22"/>
          <w:szCs w:val="22"/>
        </w:rPr>
        <w:t>Quantification</w:t>
      </w:r>
      <w:r w:rsidR="00A24A6D" w:rsidRPr="00D16989">
        <w:rPr>
          <w:rFonts w:asciiTheme="minorHAnsi" w:hAnsiTheme="minorHAnsi" w:cstheme="minorHAnsi"/>
          <w:b/>
          <w:bCs/>
          <w:sz w:val="22"/>
          <w:szCs w:val="22"/>
        </w:rPr>
        <w:t xml:space="preserve"> of Bd</w:t>
      </w:r>
      <w:r w:rsidRPr="00D16989">
        <w:rPr>
          <w:rFonts w:asciiTheme="minorHAnsi" w:hAnsiTheme="minorHAnsi" w:cstheme="minorHAnsi"/>
          <w:b/>
          <w:bCs/>
          <w:sz w:val="22"/>
          <w:szCs w:val="22"/>
        </w:rPr>
        <w:t xml:space="preserve"> loads</w:t>
      </w:r>
    </w:p>
    <w:p w14:paraId="62E94672" w14:textId="5D1895DE" w:rsidR="005E4ED8" w:rsidRPr="00D16989" w:rsidRDefault="55308F7B" w:rsidP="552FBC60">
      <w:pPr>
        <w:spacing w:line="480" w:lineRule="auto"/>
        <w:rPr>
          <w:rFonts w:asciiTheme="minorHAnsi" w:hAnsiTheme="minorHAnsi" w:cstheme="minorBidi"/>
          <w:sz w:val="22"/>
          <w:szCs w:val="22"/>
        </w:rPr>
      </w:pPr>
      <w:r w:rsidRPr="55308F7B">
        <w:rPr>
          <w:rFonts w:asciiTheme="minorHAnsi" w:hAnsiTheme="minorHAnsi" w:cstheme="minorBidi"/>
          <w:sz w:val="22"/>
          <w:szCs w:val="22"/>
        </w:rPr>
        <w:t xml:space="preserve">To detect the presence of Bd and quantify zoospore loads, animals were swabbed with a sterile swab (MW113, Medical Wire and Equipment, Wiltshire, UK) at days 0, 14, 39 and 46 after Bd treatment 1 and </w:t>
      </w:r>
      <w:r w:rsidRPr="55308F7B">
        <w:rPr>
          <w:rFonts w:asciiTheme="minorHAnsi" w:hAnsiTheme="minorHAnsi" w:cstheme="minorBidi"/>
          <w:sz w:val="22"/>
          <w:szCs w:val="22"/>
        </w:rPr>
        <w:lastRenderedPageBreak/>
        <w:t xml:space="preserve">at days 0, 14, 21, 29, 36, 43, 64 and 71 after Bd treatment 2 using standard methods. Animals were swabbed using 5 passes of each rear foot, 5 passes of the ventral surface of each thigh, 10 passes of the ventral abdominal surface and 10 passes each flank for a total of 60 passes. Swabs were stored at -20 °C prior to analysis and extracted following </w:t>
      </w:r>
      <w:r w:rsidR="00F24D0B">
        <w:rPr>
          <w:rFonts w:asciiTheme="minorHAnsi" w:hAnsiTheme="minorHAnsi" w:cstheme="minorBidi"/>
          <w:sz w:val="22"/>
          <w:szCs w:val="22"/>
        </w:rPr>
        <w:t xml:space="preserve">Hyatt et al. 2007 </w:t>
      </w:r>
      <w:r w:rsidR="00A24A6D" w:rsidRPr="55308F7B">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PYLEyTXC","properties":{"formattedCitation":"(31)","plainCitation":"(31)","noteIndex":0},"citationItems":[{"id":5940,"uris":["http://zotero.org/users/8183159/items/BIKYWKLF","http://zotero.org/users/8183159/items/98ZSN8KA"],"itemData":{"id":5940,"type":"article-journal","container-title":"Diseases of Aquatic Organisms","page":"175-192","title":"Diagnostic assays and sampling protocols for the detection of Batrachochytrium dendrobatidis","volume":"73","author":[{"family":"Hyatt","given":"A D"},{"family":"Boyle","given":"D G"},{"family":"Olsen","given":"V"},{"family":"Boyle","given":"D B"},{"family":"Berger","given":"L"},{"family":"Obendorf","given":"D"},{"family":"Dalton","given":"A"},{"family":"Kriger","given":"K"},{"family":"Hero","given":"M"},{"family":"Hines","given":"H"},{"family":"Phillott","given":"R"},{"family":"Campbell","given":"R"},{"family":"Marantelli","given":"G"},{"family":"Gleason","given":"F"},{"family":"Colling","given":"A"}],"issued":{"date-parts":[["2007"]]}}}],"schema":"https://github.com/citation-style-language/schema/raw/master/csl-citation.json"} </w:instrText>
      </w:r>
      <w:r w:rsidR="00A24A6D" w:rsidRPr="55308F7B">
        <w:rPr>
          <w:rFonts w:asciiTheme="minorHAnsi" w:hAnsiTheme="minorHAnsi" w:cstheme="minorBidi"/>
          <w:sz w:val="22"/>
          <w:szCs w:val="22"/>
        </w:rPr>
        <w:fldChar w:fldCharType="separate"/>
      </w:r>
      <w:r w:rsidR="00C91241">
        <w:rPr>
          <w:rFonts w:asciiTheme="minorHAnsi" w:hAnsiTheme="minorHAnsi" w:cstheme="minorBidi"/>
          <w:sz w:val="22"/>
          <w:szCs w:val="22"/>
        </w:rPr>
        <w:t>(31)</w:t>
      </w:r>
      <w:r w:rsidR="00A24A6D" w:rsidRPr="55308F7B">
        <w:rPr>
          <w:rFonts w:asciiTheme="minorHAnsi" w:hAnsiTheme="minorHAnsi" w:cstheme="minorBidi"/>
          <w:sz w:val="22"/>
          <w:szCs w:val="22"/>
        </w:rPr>
        <w:fldChar w:fldCharType="end"/>
      </w:r>
      <w:r w:rsidRPr="55308F7B">
        <w:rPr>
          <w:rFonts w:asciiTheme="minorHAnsi" w:hAnsiTheme="minorHAnsi" w:cstheme="minorBidi"/>
          <w:sz w:val="22"/>
          <w:szCs w:val="22"/>
        </w:rPr>
        <w:t xml:space="preserve"> then analyzed using a quantitative real-time PCR TaqMan Assay </w:t>
      </w:r>
      <w:bookmarkStart w:id="2" w:name="_Hlk214367193"/>
      <w:r w:rsidR="00A24A6D" w:rsidRPr="55308F7B">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{"citationID":"9EAWYv3F","properties":{"formattedCitation":"(32)","plainCitation":"(32)","noteIndex":0},"citationItems":[{"id":3967,"uris":["http://zotero.org/users/8183159/items/755WBV9K"],"itemData":{"id":3967,"type":"article-journal","abstract":"Batrachochytrium dendrobatidis is a major pathogen of frogs worldwide, associated with declines in amphibian populations. Diagnosis of chytridiomycosis to date has largely relied upon histological and immunohistochemical examination of toe clips. This technique is invasive and insensitive particularly at early stages of infection when treatment may be possible. We have developed a real-time PCR Taqman assay that can accurately detect and quantify one zoospore in a diagnostic sample. This assay will assist the early detection of B. dendrobatidis in both captive and wild populations, with a high degree of sensitivity and specificity, thus facilitating treatment and protection of endangered populations, monitoring of pristine environments and preventing further global spread via amphibian trade.","citation-key":"Boyle2004","container-title":"Diseases of aquatic organisms","DOI":"10.3354/dao060141","ISSN":"0177-5103","issue":"2","note":"ISBN: 0177-5103","page":"141-148","PMID":"15460858","title":"Rapid quantitative detection of chytridiomycosis (&lt;i&gt;Batrachochytrium dendrobatidis&lt;/i&gt;) in amphibian samples using real-time Taqman PCR assay.","volume":"60","author":[{"family":"Boyle","given":"D G"},{"family":"Boyle","given":"David B"},{"family":"Olsen","given":"V"},{"family":"Morgan","given":"J T"},{"family":"Hyatt","given":"A D"}],"issued":{"date-parts":[["2004"]]}}}],"schema":"https://github.com/citation-style-language/schema/raw/master/csl-citation.json"} </w:instrText>
      </w:r>
      <w:r w:rsidR="00A24A6D" w:rsidRPr="55308F7B">
        <w:rPr>
          <w:rFonts w:asciiTheme="minorHAnsi" w:hAnsiTheme="minorHAnsi" w:cstheme="minorBidi"/>
          <w:sz w:val="22"/>
          <w:szCs w:val="22"/>
        </w:rPr>
        <w:fldChar w:fldCharType="separate"/>
      </w:r>
      <w:r w:rsidR="00C91241">
        <w:rPr>
          <w:rFonts w:asciiTheme="minorHAnsi" w:hAnsiTheme="minorHAnsi" w:cstheme="minorBidi"/>
          <w:noProof/>
          <w:sz w:val="22"/>
          <w:szCs w:val="22"/>
        </w:rPr>
        <w:t>(32)</w:t>
      </w:r>
      <w:r w:rsidR="00A24A6D" w:rsidRPr="55308F7B">
        <w:rPr>
          <w:rFonts w:asciiTheme="minorHAnsi" w:hAnsiTheme="minorHAnsi" w:cstheme="minorBidi"/>
          <w:sz w:val="22"/>
          <w:szCs w:val="22"/>
        </w:rPr>
        <w:fldChar w:fldCharType="end"/>
      </w:r>
      <w:r w:rsidRPr="55308F7B">
        <w:rPr>
          <w:rFonts w:asciiTheme="minorHAnsi" w:hAnsiTheme="minorHAnsi" w:cstheme="minorBidi"/>
          <w:sz w:val="22"/>
          <w:szCs w:val="22"/>
        </w:rPr>
        <w:t xml:space="preserve">. </w:t>
      </w:r>
      <w:bookmarkEnd w:id="2"/>
      <w:r w:rsidRPr="55308F7B">
        <w:rPr>
          <w:rFonts w:asciiTheme="minorHAnsi" w:hAnsiTheme="minorHAnsi" w:cstheme="minorBidi"/>
          <w:sz w:val="22"/>
          <w:szCs w:val="22"/>
        </w:rPr>
        <w:t xml:space="preserve">We used a Roche </w:t>
      </w:r>
      <w:proofErr w:type="spellStart"/>
      <w:r w:rsidRPr="55308F7B">
        <w:rPr>
          <w:rFonts w:asciiTheme="minorHAnsi" w:hAnsiTheme="minorHAnsi" w:cstheme="minorBidi"/>
          <w:sz w:val="22"/>
          <w:szCs w:val="22"/>
        </w:rPr>
        <w:t>LightCycler</w:t>
      </w:r>
      <w:proofErr w:type="spellEnd"/>
      <w:r w:rsidRPr="55308F7B">
        <w:rPr>
          <w:rFonts w:asciiTheme="minorHAnsi" w:hAnsiTheme="minorHAnsi" w:cstheme="minorBidi"/>
          <w:sz w:val="22"/>
          <w:szCs w:val="22"/>
        </w:rPr>
        <w:t xml:space="preserve"> 96 System containing 5 </w:t>
      </w:r>
      <w:r w:rsidRPr="55308F7B">
        <w:rPr>
          <w:rFonts w:asciiTheme="minorHAnsi" w:hAnsiTheme="minorHAnsi" w:cstheme="minorBidi"/>
          <w:sz w:val="22"/>
          <w:szCs w:val="22"/>
          <w:lang w:val="es-PA"/>
        </w:rPr>
        <w:t>μL</w:t>
      </w:r>
      <w:r w:rsidRPr="55308F7B">
        <w:rPr>
          <w:rFonts w:asciiTheme="minorHAnsi" w:hAnsiTheme="minorHAnsi" w:cstheme="minorBidi"/>
          <w:sz w:val="22"/>
          <w:szCs w:val="22"/>
        </w:rPr>
        <w:t xml:space="preserve"> of sample and 15 </w:t>
      </w:r>
      <w:r w:rsidRPr="55308F7B">
        <w:rPr>
          <w:rFonts w:asciiTheme="minorHAnsi" w:hAnsiTheme="minorHAnsi" w:cstheme="minorBidi"/>
          <w:sz w:val="22"/>
          <w:szCs w:val="22"/>
          <w:lang w:val="es-PA"/>
        </w:rPr>
        <w:t>μL</w:t>
      </w:r>
      <w:r w:rsidRPr="55308F7B">
        <w:rPr>
          <w:rFonts w:asciiTheme="minorHAnsi" w:hAnsiTheme="minorHAnsi" w:cstheme="minorBidi"/>
          <w:sz w:val="22"/>
          <w:szCs w:val="22"/>
        </w:rPr>
        <w:t xml:space="preserve"> of a master mix </w:t>
      </w:r>
      <w:r w:rsidR="00A24A6D" w:rsidRPr="55308F7B">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{"citationID":"OzKFQW17","properties":{"formattedCitation":"(33)","plainCitation":"(33)","noteIndex":0},"citationItems":[{"id":2256,"uris":["http://zotero.org/groups/2614993/items/6WA4YDUU"],"itemData":{"id":2256,"type":"article-journal","abstract":"Chytridiomycosis is a lethal disease of amphibians associated with mass mortalities and population declines worldwide. An accurate, non-invasive technique for detecting chytridiomycosis is urgently needed to determine the current geographical distribution of the disease, and its prevalence in wild amphibian populations. Herein we evaluate a recently devised, rapid, non-invasive, swab-PCR assay. We sampled 101 wild juvenile Mixophyes iteratus by both a skin swab for use in PCR analysis, and a toe-clip for examination by histological methods. The swab-PCR assay detected chytridiomycosis infection in a minimum of 14.9% of frogs, whereas histology detected infection in no more than 6.9% of frogs. We conclude that the swab-PCR technique is the more reliable means of detecting chytridiomycosis in wild amphibians, and that it precludes the need for toe-clipping as a means of sampling for the presence of the disease in future surveys. Further, we document a significant negative relationship between a juvenile frog's snout-vent length and its likelihood of being infected with the disease.","container-title":"Diseases of Aquatic Organisms","DOI":"10.3354/dao071141","ISSN":"01775103","issue":"2","note":"ISBN: 0177-5103 (Print)\\r0177-5103 (Linking)","page":"141–148","PMID":"16956061","title":"Techniques for detecting chytridiomycosis in wild frogs: Comparing histology with real-time Taqman PCR","volume":"71","author":[{"family":"Kriger","given":"Kerry M."},{"family":"Hines","given":"Harry B."},{"family":"Hyatt","given":"Alex D."},{"family":"Boyle","given":"Donna G."},{"family":"Hero","given":"Jean Marc"}],"issued":{"date-parts":[["2006"]]}}}],"schema":"https://github.com/citation-style-language/schema/raw/master/csl-citation.json"} </w:instrText>
      </w:r>
      <w:r w:rsidR="00A24A6D" w:rsidRPr="55308F7B">
        <w:rPr>
          <w:rFonts w:asciiTheme="minorHAnsi" w:hAnsiTheme="minorHAnsi" w:cstheme="minorBidi"/>
          <w:sz w:val="22"/>
          <w:szCs w:val="22"/>
        </w:rPr>
        <w:fldChar w:fldCharType="separate"/>
      </w:r>
      <w:r w:rsidR="00C91241">
        <w:rPr>
          <w:rFonts w:asciiTheme="minorHAnsi" w:hAnsiTheme="minorHAnsi" w:cstheme="minorBidi"/>
          <w:sz w:val="22"/>
          <w:szCs w:val="22"/>
        </w:rPr>
        <w:t>(33)</w:t>
      </w:r>
      <w:r w:rsidR="00A24A6D" w:rsidRPr="55308F7B">
        <w:rPr>
          <w:rFonts w:asciiTheme="minorHAnsi" w:hAnsiTheme="minorHAnsi" w:cstheme="minorBidi"/>
          <w:sz w:val="22"/>
          <w:szCs w:val="22"/>
        </w:rPr>
        <w:fldChar w:fldCharType="end"/>
      </w:r>
      <w:r w:rsidRPr="55308F7B">
        <w:rPr>
          <w:rFonts w:asciiTheme="minorHAnsi" w:hAnsiTheme="minorHAnsi" w:cstheme="minorBidi"/>
          <w:sz w:val="22"/>
          <w:szCs w:val="22"/>
        </w:rPr>
        <w:t xml:space="preserve">. The master mix contained 10 </w:t>
      </w:r>
      <w:r w:rsidRPr="55308F7B">
        <w:rPr>
          <w:rFonts w:asciiTheme="minorHAnsi" w:hAnsiTheme="minorHAnsi" w:cstheme="minorBidi"/>
          <w:sz w:val="22"/>
          <w:szCs w:val="22"/>
          <w:lang w:val="es-PA"/>
        </w:rPr>
        <w:t>μL</w:t>
      </w:r>
      <w:r w:rsidRPr="55308F7B">
        <w:rPr>
          <w:rFonts w:asciiTheme="minorHAnsi" w:hAnsiTheme="minorHAnsi" w:cstheme="minorBidi"/>
          <w:sz w:val="22"/>
          <w:szCs w:val="22"/>
        </w:rPr>
        <w:t xml:space="preserve"> of Roche FastStart Essential DNA Probes Master, 0.25 </w:t>
      </w:r>
      <w:r w:rsidRPr="55308F7B">
        <w:rPr>
          <w:rFonts w:asciiTheme="minorHAnsi" w:hAnsiTheme="minorHAnsi" w:cstheme="minorBidi"/>
          <w:sz w:val="22"/>
          <w:szCs w:val="22"/>
          <w:lang w:val="es-PA"/>
        </w:rPr>
        <w:t>μL</w:t>
      </w:r>
      <w:r w:rsidRPr="55308F7B">
        <w:rPr>
          <w:rFonts w:asciiTheme="minorHAnsi" w:hAnsiTheme="minorHAnsi" w:cstheme="minorBidi"/>
          <w:sz w:val="22"/>
          <w:szCs w:val="22"/>
        </w:rPr>
        <w:t xml:space="preserve"> of Roche </w:t>
      </w:r>
      <w:proofErr w:type="spellStart"/>
      <w:r w:rsidRPr="55308F7B">
        <w:rPr>
          <w:rFonts w:asciiTheme="minorHAnsi" w:hAnsiTheme="minorHAnsi" w:cstheme="minorBidi"/>
          <w:sz w:val="22"/>
          <w:szCs w:val="22"/>
        </w:rPr>
        <w:t>LightCycler</w:t>
      </w:r>
      <w:proofErr w:type="spellEnd"/>
      <w:r w:rsidRPr="55308F7B">
        <w:rPr>
          <w:rFonts w:asciiTheme="minorHAnsi" w:hAnsiTheme="minorHAnsi" w:cstheme="minorBidi"/>
          <w:sz w:val="22"/>
          <w:szCs w:val="22"/>
        </w:rPr>
        <w:t xml:space="preserve"> Uracil-DNA Glycosylase for avoiding PCR carry over contamination, 0.8 </w:t>
      </w:r>
      <w:r w:rsidRPr="55308F7B">
        <w:rPr>
          <w:rFonts w:asciiTheme="minorHAnsi" w:hAnsiTheme="minorHAnsi" w:cstheme="minorBidi"/>
          <w:sz w:val="22"/>
          <w:szCs w:val="22"/>
          <w:lang w:val="es-PA"/>
        </w:rPr>
        <w:t>μL</w:t>
      </w:r>
      <w:r w:rsidRPr="55308F7B">
        <w:rPr>
          <w:rFonts w:asciiTheme="minorHAnsi" w:hAnsiTheme="minorHAnsi" w:cstheme="minorBidi"/>
          <w:sz w:val="22"/>
          <w:szCs w:val="22"/>
        </w:rPr>
        <w:t xml:space="preserve"> of 18</w:t>
      </w:r>
      <w:r w:rsidR="00F37061">
        <w:rPr>
          <w:rFonts w:asciiTheme="minorHAnsi" w:hAnsiTheme="minorHAnsi" w:cstheme="minorBidi"/>
          <w:sz w:val="22"/>
          <w:szCs w:val="22"/>
        </w:rPr>
        <w:t xml:space="preserve"> </w:t>
      </w:r>
      <w:r w:rsidR="00F37061" w:rsidRPr="55308F7B">
        <w:rPr>
          <w:rFonts w:asciiTheme="minorHAnsi" w:hAnsiTheme="minorHAnsi" w:cstheme="minorBidi"/>
          <w:sz w:val="22"/>
          <w:szCs w:val="22"/>
          <w:lang w:val="es-PA"/>
        </w:rPr>
        <w:t>μ</w:t>
      </w:r>
      <w:r w:rsidR="00F37061">
        <w:rPr>
          <w:rFonts w:asciiTheme="minorHAnsi" w:hAnsiTheme="minorHAnsi" w:cstheme="minorBidi"/>
          <w:sz w:val="22"/>
          <w:szCs w:val="22"/>
        </w:rPr>
        <w:t>mol/L</w:t>
      </w:r>
      <w:r w:rsidRPr="55308F7B">
        <w:rPr>
          <w:rFonts w:asciiTheme="minorHAnsi" w:hAnsiTheme="minorHAnsi" w:cstheme="minorBidi"/>
          <w:sz w:val="22"/>
          <w:szCs w:val="22"/>
        </w:rPr>
        <w:t xml:space="preserve"> ITS1-3 </w:t>
      </w:r>
      <w:proofErr w:type="spellStart"/>
      <w:r w:rsidRPr="55308F7B">
        <w:rPr>
          <w:rFonts w:asciiTheme="minorHAnsi" w:hAnsiTheme="minorHAnsi" w:cstheme="minorBidi"/>
          <w:sz w:val="22"/>
          <w:szCs w:val="22"/>
        </w:rPr>
        <w:t>Chytr</w:t>
      </w:r>
      <w:proofErr w:type="spellEnd"/>
      <w:r w:rsidRPr="55308F7B">
        <w:rPr>
          <w:rFonts w:asciiTheme="minorHAnsi" w:hAnsiTheme="minorHAnsi" w:cstheme="minorBidi"/>
          <w:sz w:val="22"/>
          <w:szCs w:val="22"/>
        </w:rPr>
        <w:t xml:space="preserve"> and 0.8 </w:t>
      </w:r>
      <w:r w:rsidRPr="55308F7B">
        <w:rPr>
          <w:rFonts w:asciiTheme="minorHAnsi" w:hAnsiTheme="minorHAnsi" w:cstheme="minorBidi"/>
          <w:sz w:val="22"/>
          <w:szCs w:val="22"/>
          <w:lang w:val="es-PA"/>
        </w:rPr>
        <w:t>μL</w:t>
      </w:r>
      <w:r w:rsidRPr="55308F7B">
        <w:rPr>
          <w:rFonts w:asciiTheme="minorHAnsi" w:hAnsiTheme="minorHAnsi" w:cstheme="minorBidi"/>
          <w:sz w:val="22"/>
          <w:szCs w:val="22"/>
        </w:rPr>
        <w:t xml:space="preserve"> of 18 </w:t>
      </w:r>
      <w:r w:rsidR="00F37061" w:rsidRPr="55308F7B">
        <w:rPr>
          <w:rFonts w:asciiTheme="minorHAnsi" w:hAnsiTheme="minorHAnsi" w:cstheme="minorBidi"/>
          <w:sz w:val="22"/>
          <w:szCs w:val="22"/>
          <w:lang w:val="es-PA"/>
        </w:rPr>
        <w:t>μ</w:t>
      </w:r>
      <w:r w:rsidR="00F37061">
        <w:rPr>
          <w:rFonts w:asciiTheme="minorHAnsi" w:hAnsiTheme="minorHAnsi" w:cstheme="minorBidi"/>
          <w:sz w:val="22"/>
          <w:szCs w:val="22"/>
        </w:rPr>
        <w:t>mol/L</w:t>
      </w:r>
      <w:r w:rsidRPr="55308F7B">
        <w:rPr>
          <w:rFonts w:asciiTheme="minorHAnsi" w:hAnsiTheme="minorHAnsi" w:cstheme="minorBidi"/>
          <w:sz w:val="22"/>
          <w:szCs w:val="22"/>
        </w:rPr>
        <w:t xml:space="preserve"> 5.8S </w:t>
      </w:r>
      <w:proofErr w:type="spellStart"/>
      <w:r w:rsidRPr="55308F7B">
        <w:rPr>
          <w:rFonts w:asciiTheme="minorHAnsi" w:hAnsiTheme="minorHAnsi" w:cstheme="minorBidi"/>
          <w:sz w:val="22"/>
          <w:szCs w:val="22"/>
        </w:rPr>
        <w:t>Chytr</w:t>
      </w:r>
      <w:proofErr w:type="spellEnd"/>
      <w:r w:rsidRPr="55308F7B">
        <w:rPr>
          <w:rFonts w:asciiTheme="minorHAnsi" w:hAnsiTheme="minorHAnsi" w:cstheme="minorBidi"/>
          <w:sz w:val="22"/>
          <w:szCs w:val="22"/>
        </w:rPr>
        <w:t xml:space="preserve"> primer solutions, 1 </w:t>
      </w:r>
      <w:r w:rsidRPr="55308F7B">
        <w:rPr>
          <w:rFonts w:asciiTheme="minorHAnsi" w:hAnsiTheme="minorHAnsi" w:cstheme="minorBidi"/>
          <w:sz w:val="22"/>
          <w:szCs w:val="22"/>
          <w:lang w:val="es-PA"/>
        </w:rPr>
        <w:t>μL</w:t>
      </w:r>
      <w:r w:rsidRPr="55308F7B">
        <w:rPr>
          <w:rFonts w:asciiTheme="minorHAnsi" w:hAnsiTheme="minorHAnsi" w:cstheme="minorBidi"/>
          <w:sz w:val="22"/>
          <w:szCs w:val="22"/>
        </w:rPr>
        <w:t xml:space="preserve"> of 5 </w:t>
      </w:r>
      <w:r w:rsidR="000E4ACF" w:rsidRPr="55308F7B">
        <w:rPr>
          <w:rFonts w:asciiTheme="minorHAnsi" w:hAnsiTheme="minorHAnsi" w:cstheme="minorBidi"/>
          <w:sz w:val="22"/>
          <w:szCs w:val="22"/>
          <w:lang w:val="es-PA"/>
        </w:rPr>
        <w:t>μ</w:t>
      </w:r>
      <w:r w:rsidR="000E4ACF">
        <w:rPr>
          <w:rFonts w:asciiTheme="minorHAnsi" w:hAnsiTheme="minorHAnsi" w:cstheme="minorBidi"/>
          <w:sz w:val="22"/>
          <w:szCs w:val="22"/>
        </w:rPr>
        <w:t>mol/L</w:t>
      </w:r>
      <w:r w:rsidRPr="55308F7B">
        <w:rPr>
          <w:rFonts w:asciiTheme="minorHAnsi" w:hAnsiTheme="minorHAnsi" w:cstheme="minorBidi"/>
          <w:sz w:val="22"/>
          <w:szCs w:val="22"/>
        </w:rPr>
        <w:t xml:space="preserve"> ChytrMGB2 probe solution, 2 </w:t>
      </w:r>
      <w:r w:rsidRPr="55308F7B">
        <w:rPr>
          <w:rFonts w:asciiTheme="minorHAnsi" w:hAnsiTheme="minorHAnsi" w:cstheme="minorBidi"/>
          <w:sz w:val="22"/>
          <w:szCs w:val="22"/>
          <w:lang w:val="es-PA"/>
        </w:rPr>
        <w:t>μL</w:t>
      </w:r>
      <w:r w:rsidRPr="55308F7B">
        <w:rPr>
          <w:rFonts w:asciiTheme="minorHAnsi" w:hAnsiTheme="minorHAnsi" w:cstheme="minorBidi"/>
          <w:sz w:val="22"/>
          <w:szCs w:val="22"/>
        </w:rPr>
        <w:t xml:space="preserve"> of 10x Exo IPC mix and 0.4 </w:t>
      </w:r>
      <w:r w:rsidRPr="55308F7B">
        <w:rPr>
          <w:rFonts w:asciiTheme="minorHAnsi" w:hAnsiTheme="minorHAnsi" w:cstheme="minorBidi"/>
          <w:sz w:val="22"/>
          <w:szCs w:val="22"/>
          <w:lang w:val="es-PA"/>
        </w:rPr>
        <w:t>μL</w:t>
      </w:r>
      <w:r w:rsidRPr="55308F7B">
        <w:rPr>
          <w:rFonts w:asciiTheme="minorHAnsi" w:hAnsiTheme="minorHAnsi" w:cstheme="minorBidi"/>
          <w:sz w:val="22"/>
          <w:szCs w:val="22"/>
        </w:rPr>
        <w:t xml:space="preserve"> of 50x Exo IPC DNA TaqMan Exogenous Internal Positive Control Reagents (Applied Biosystems No. 4308323) for uncovering false negatives due to reaction inhibition </w:t>
      </w:r>
      <w:bookmarkStart w:id="3" w:name="_Hlk214369388"/>
      <w:r w:rsidR="00A24A6D" w:rsidRPr="55308F7B">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bmIsEPK6","properties":{"formattedCitation":"(31)","plainCitation":"(31)","noteIndex":0},"citationItems":[{"id":5940,"uris":["http://zotero.org/users/8183159/items/BIKYWKLF","http://zotero.org/users/8183159/items/98ZSN8KA"],"itemData":{"id":5940,"type":"article-journal","container-title":"Diseases of Aquatic Organisms","page":"175-192","title":"Diagnostic assays and sampling protocols for the detection of Batrachochytrium dendrobatidis","volume":"73","author":[{"family":"Hyatt","given":"A D"},{"family":"Boyle","given":"D G"},{"family":"Olsen","given":"V"},{"family":"Boyle","given":"D B"},{"family":"Berger","given":"L"},{"family":"Obendorf","given":"D"},{"family":"Dalton","given":"A"},{"family":"Kriger","given":"K"},{"family":"Hero","given":"M"},{"family":"Hines","given":"H"},{"family":"Phillott","given":"R"},{"family":"Campbell","given":"R"},{"family":"Marantelli","given":"G"},{"family":"Gleason","given":"F"},{"family":"Colling","given":"A"}],"issued":{"date-parts":[["2007"]]}}}],"schema":"https://github.com/citation-style-language/schema/raw/master/csl-citation.json"} </w:instrText>
      </w:r>
      <w:r w:rsidR="00A24A6D" w:rsidRPr="55308F7B">
        <w:rPr>
          <w:rFonts w:asciiTheme="minorHAnsi" w:hAnsiTheme="minorHAnsi" w:cstheme="minorBidi"/>
          <w:sz w:val="22"/>
          <w:szCs w:val="22"/>
        </w:rPr>
        <w:fldChar w:fldCharType="separate"/>
      </w:r>
      <w:r w:rsidR="00C91241">
        <w:rPr>
          <w:rFonts w:asciiTheme="minorHAnsi" w:hAnsiTheme="minorHAnsi" w:cstheme="minorBidi"/>
          <w:sz w:val="22"/>
          <w:szCs w:val="22"/>
        </w:rPr>
        <w:t>(31)</w:t>
      </w:r>
      <w:r w:rsidR="00A24A6D" w:rsidRPr="55308F7B">
        <w:rPr>
          <w:rFonts w:asciiTheme="minorHAnsi" w:hAnsiTheme="minorHAnsi" w:cstheme="minorBidi"/>
          <w:sz w:val="22"/>
          <w:szCs w:val="22"/>
        </w:rPr>
        <w:fldChar w:fldCharType="end"/>
      </w:r>
      <w:r w:rsidRPr="55308F7B">
        <w:rPr>
          <w:rFonts w:asciiTheme="minorHAnsi" w:hAnsiTheme="minorHAnsi" w:cstheme="minorBidi"/>
          <w:sz w:val="22"/>
          <w:szCs w:val="22"/>
        </w:rPr>
        <w:t xml:space="preserve">. </w:t>
      </w:r>
      <w:bookmarkEnd w:id="3"/>
      <w:r w:rsidRPr="55308F7B">
        <w:rPr>
          <w:rFonts w:asciiTheme="minorHAnsi" w:hAnsiTheme="minorHAnsi" w:cstheme="minorBidi"/>
          <w:sz w:val="22"/>
          <w:szCs w:val="22"/>
        </w:rPr>
        <w:t>Samples were tested in triplicate, and five negative controls and a Bd positive control</w:t>
      </w:r>
      <w:r w:rsidR="002321D1">
        <w:rPr>
          <w:rFonts w:asciiTheme="minorHAnsi" w:hAnsiTheme="minorHAnsi" w:cstheme="minorBidi"/>
          <w:sz w:val="22"/>
          <w:szCs w:val="22"/>
        </w:rPr>
        <w:t>,</w:t>
      </w:r>
      <w:r w:rsidRPr="55308F7B">
        <w:rPr>
          <w:rFonts w:asciiTheme="minorHAnsi" w:hAnsiTheme="minorHAnsi" w:cstheme="minorBidi"/>
          <w:sz w:val="22"/>
          <w:szCs w:val="22"/>
        </w:rPr>
        <w:t xml:space="preserve"> were included on each plate </w:t>
      </w:r>
      <w:r w:rsidR="00A24A6D" w:rsidRPr="55308F7B">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{"citationID":"l3FBMG0M","properties":{"formattedCitation":"(33)","plainCitation":"(33)","noteIndex":0},"citationItems":[{"id":2256,"uris":["http://zotero.org/groups/2614993/items/6WA4YDUU"],"itemData":{"id":2256,"type":"article-journal","abstract":"Chytridiomycosis is a lethal disease of amphibians associated with mass mortalities and population declines worldwide. An accurate, non-invasive technique for detecting chytridiomycosis is urgently needed to determine the current geographical distribution of the disease, and its prevalence in wild amphibian populations. Herein we evaluate a recently devised, rapid, non-invasive, swab-PCR assay. We sampled 101 wild juvenile Mixophyes iteratus by both a skin swab for use in PCR analysis, and a toe-clip for examination by histological methods. The swab-PCR assay detected chytridiomycosis infection in a minimum of 14.9% of frogs, whereas histology detected infection in no more than 6.9% of frogs. We conclude that the swab-PCR technique is the more reliable means of detecting chytridiomycosis in wild amphibians, and that it precludes the need for toe-clipping as a means of sampling for the presence of the disease in future surveys. Further, we document a significant negative relationship between a juvenile frog's snout-vent length and its likelihood of being infected with the disease.","container-title":"Diseases of Aquatic Organisms","DOI":"10.3354/dao071141","ISSN":"01775103","issue":"2","note":"ISBN: 0177-5103 (Print)\\r0177-5103 (Linking)","page":"141–148","PMID":"16956061","title":"Techniques for detecting chytridiomycosis in wild frogs: Comparing histology with real-time Taqman PCR","volume":"71","author":[{"family":"Kriger","given":"Kerry M."},{"family":"Hines","given":"Harry B."},{"family":"Hyatt","given":"Alex D."},{"family":"Boyle","given":"Donna G."},{"family":"Hero","given":"Jean Marc"}],"issued":{"date-parts":[["2006"]]}}}],"schema":"https://github.com/citation-style-language/schema/raw/master/csl-citation.json"} </w:instrText>
      </w:r>
      <w:r w:rsidR="00A24A6D" w:rsidRPr="55308F7B">
        <w:rPr>
          <w:rFonts w:asciiTheme="minorHAnsi" w:hAnsiTheme="minorHAnsi" w:cstheme="minorBidi"/>
          <w:sz w:val="22"/>
          <w:szCs w:val="22"/>
        </w:rPr>
        <w:fldChar w:fldCharType="separate"/>
      </w:r>
      <w:r w:rsidR="00C91241">
        <w:rPr>
          <w:rFonts w:asciiTheme="minorHAnsi" w:hAnsiTheme="minorHAnsi" w:cstheme="minorBidi"/>
          <w:noProof/>
          <w:sz w:val="22"/>
          <w:szCs w:val="22"/>
        </w:rPr>
        <w:t>(33)</w:t>
      </w:r>
      <w:r w:rsidR="00A24A6D" w:rsidRPr="55308F7B">
        <w:rPr>
          <w:rFonts w:asciiTheme="minorHAnsi" w:hAnsiTheme="minorHAnsi" w:cstheme="minorBidi"/>
          <w:sz w:val="22"/>
          <w:szCs w:val="22"/>
        </w:rPr>
        <w:fldChar w:fldCharType="end"/>
      </w:r>
      <w:r w:rsidRPr="55308F7B">
        <w:rPr>
          <w:rFonts w:asciiTheme="minorHAnsi" w:hAnsiTheme="minorHAnsi" w:cstheme="minorBidi"/>
          <w:sz w:val="22"/>
          <w:szCs w:val="22"/>
        </w:rPr>
        <w:t xml:space="preserve">. Samples with two or three positive reactions were considered Bd positive. Infection load was calculated as the number of zoospore equivalents using </w:t>
      </w:r>
      <w:r w:rsidRPr="55308F7B">
        <w:rPr>
          <w:rFonts w:asciiTheme="minorHAnsi" w:hAnsiTheme="minorHAnsi" w:cstheme="minorBidi"/>
          <w:sz w:val="22"/>
          <w:szCs w:val="22"/>
          <w:lang w:val="en-GB"/>
        </w:rPr>
        <w:t xml:space="preserve">tenfold serially diluted standards that ranged from 0.1 </w:t>
      </w:r>
      <w:r w:rsidRPr="55308F7B">
        <w:rPr>
          <w:rFonts w:asciiTheme="minorHAnsi" w:hAnsiTheme="minorHAnsi" w:cstheme="minorBidi"/>
          <w:sz w:val="22"/>
          <w:szCs w:val="22"/>
        </w:rPr>
        <w:t>zoospore equivalents</w:t>
      </w:r>
      <w:r w:rsidRPr="55308F7B">
        <w:rPr>
          <w:rFonts w:asciiTheme="minorHAnsi" w:hAnsiTheme="minorHAnsi" w:cstheme="minorBidi"/>
          <w:sz w:val="22"/>
          <w:szCs w:val="22"/>
          <w:lang w:val="en-GB"/>
        </w:rPr>
        <w:t xml:space="preserve"> to 10 000 </w:t>
      </w:r>
      <w:r w:rsidRPr="55308F7B">
        <w:rPr>
          <w:rFonts w:asciiTheme="minorHAnsi" w:hAnsiTheme="minorHAnsi" w:cstheme="minorBidi"/>
          <w:sz w:val="22"/>
          <w:szCs w:val="22"/>
        </w:rPr>
        <w:t>zoospore equivalents</w:t>
      </w:r>
      <w:r w:rsidRPr="55308F7B">
        <w:rPr>
          <w:rFonts w:asciiTheme="minorHAnsi" w:hAnsiTheme="minorHAnsi" w:cstheme="minorBidi"/>
          <w:sz w:val="22"/>
          <w:szCs w:val="22"/>
          <w:lang w:val="en-GB"/>
        </w:rPr>
        <w:t xml:space="preserve"> of the JEL 423 Bd strain (originally isolated in Panama)</w:t>
      </w:r>
      <w:r w:rsidRPr="55308F7B">
        <w:rPr>
          <w:rFonts w:asciiTheme="minorHAnsi" w:hAnsiTheme="minorHAnsi" w:cstheme="minorBidi"/>
          <w:sz w:val="22"/>
          <w:szCs w:val="22"/>
        </w:rPr>
        <w:t xml:space="preserve"> </w:t>
      </w:r>
      <w:r w:rsidR="00A24A6D" w:rsidRPr="55308F7B">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y2wZ2sQv","properties":{"formattedCitation":"(31)","plainCitation":"(31)","noteIndex":0},"citationItems":[{"id":5940,"uris":["http://zotero.org/users/8183159/items/BIKYWKLF","http://zotero.org/users/8183159/items/98ZSN8KA"],"itemData":{"id":5940,"type":"article-journal","container-title":"Diseases of Aquatic Organisms","page":"175-192","title":"Diagnostic assays and sampling protocols for the detection of Batrachochytrium dendrobatidis","volume":"73","author":[{"family":"Hyatt","given":"A D"},{"family":"Boyle","given":"D G"},{"family":"Olsen","given":"V"},{"family":"Boyle","given":"D B"},{"family":"Berger","given":"L"},{"family":"Obendorf","given":"D"},{"family":"Dalton","given":"A"},{"family":"Kriger","given":"K"},{"family":"Hero","given":"M"},{"family":"Hines","given":"H"},{"family":"Phillott","given":"R"},{"family":"Campbell","given":"R"},{"family":"Marantelli","given":"G"},{"family":"Gleason","given":"F"},{"family":"Colling","given":"A"}],"issued":{"date-parts":[["2007"]]}}}],"schema":"https://github.com/citation-style-language/schema/raw/master/csl-citation.json"} </w:instrText>
      </w:r>
      <w:r w:rsidR="00A24A6D" w:rsidRPr="55308F7B">
        <w:rPr>
          <w:rFonts w:asciiTheme="minorHAnsi" w:hAnsiTheme="minorHAnsi" w:cstheme="minorBidi"/>
          <w:sz w:val="22"/>
          <w:szCs w:val="22"/>
        </w:rPr>
        <w:fldChar w:fldCharType="separate"/>
      </w:r>
      <w:r w:rsidR="00C91241">
        <w:rPr>
          <w:rFonts w:asciiTheme="minorHAnsi" w:hAnsiTheme="minorHAnsi" w:cstheme="minorBidi"/>
          <w:sz w:val="22"/>
          <w:szCs w:val="22"/>
        </w:rPr>
        <w:t>(31)</w:t>
      </w:r>
      <w:r w:rsidR="00A24A6D" w:rsidRPr="55308F7B">
        <w:rPr>
          <w:rFonts w:asciiTheme="minorHAnsi" w:hAnsiTheme="minorHAnsi" w:cstheme="minorBidi"/>
          <w:sz w:val="22"/>
          <w:szCs w:val="22"/>
        </w:rPr>
        <w:fldChar w:fldCharType="end"/>
      </w:r>
      <w:r w:rsidRPr="55308F7B">
        <w:rPr>
          <w:rFonts w:asciiTheme="minorHAnsi" w:hAnsiTheme="minorHAnsi" w:cstheme="minorBidi"/>
          <w:sz w:val="22"/>
          <w:szCs w:val="22"/>
        </w:rPr>
        <w:t>. We averaged the quantified values and multiplied them by 100 to compensate for the extraction and dilution of the samples.</w:t>
      </w:r>
    </w:p>
    <w:p w14:paraId="06990680" w14:textId="77777777" w:rsidR="005E4ED8" w:rsidRPr="00D16989" w:rsidRDefault="005E4ED8" w:rsidP="00547AFA">
      <w:pPr>
        <w:spacing w:line="480" w:lineRule="auto"/>
        <w:rPr>
          <w:rFonts w:asciiTheme="minorHAnsi" w:hAnsiTheme="minorHAnsi" w:cstheme="minorHAnsi"/>
          <w:b/>
          <w:bCs/>
          <w:sz w:val="22"/>
          <w:szCs w:val="22"/>
        </w:rPr>
      </w:pPr>
    </w:p>
    <w:p w14:paraId="2C290ABF" w14:textId="76D65B33" w:rsidR="00E572FA" w:rsidRPr="00D16989" w:rsidRDefault="000C1F30" w:rsidP="00547AFA">
      <w:pPr>
        <w:spacing w:line="480" w:lineRule="auto"/>
        <w:rPr>
          <w:rFonts w:asciiTheme="minorHAnsi" w:hAnsiTheme="minorHAnsi" w:cstheme="minorHAnsi"/>
          <w:b/>
          <w:bCs/>
          <w:sz w:val="22"/>
          <w:szCs w:val="22"/>
        </w:rPr>
      </w:pPr>
      <w:r>
        <w:rPr>
          <w:rFonts w:asciiTheme="minorHAnsi" w:hAnsiTheme="minorHAnsi" w:cstheme="minorHAnsi"/>
          <w:b/>
          <w:bCs/>
          <w:sz w:val="22"/>
          <w:szCs w:val="22"/>
        </w:rPr>
        <w:t xml:space="preserve">Survival </w:t>
      </w:r>
      <w:r w:rsidR="00F20018">
        <w:rPr>
          <w:rFonts w:asciiTheme="minorHAnsi" w:hAnsiTheme="minorHAnsi" w:cstheme="minorHAnsi"/>
          <w:b/>
          <w:bCs/>
          <w:sz w:val="22"/>
          <w:szCs w:val="22"/>
        </w:rPr>
        <w:t>a</w:t>
      </w:r>
      <w:r w:rsidR="00554468" w:rsidRPr="00D16989">
        <w:rPr>
          <w:rFonts w:asciiTheme="minorHAnsi" w:hAnsiTheme="minorHAnsi" w:cstheme="minorHAnsi"/>
          <w:b/>
          <w:bCs/>
          <w:sz w:val="22"/>
          <w:szCs w:val="22"/>
        </w:rPr>
        <w:t>nalyses</w:t>
      </w:r>
    </w:p>
    <w:p w14:paraId="42A10FEE" w14:textId="09DF5BA5" w:rsidR="00021AF4" w:rsidRPr="00D16989" w:rsidRDefault="3E697515" w:rsidP="3E697515">
      <w:pPr>
        <w:spacing w:line="480" w:lineRule="auto"/>
        <w:rPr>
          <w:rFonts w:asciiTheme="minorHAnsi" w:hAnsiTheme="minorHAnsi" w:cstheme="minorBidi"/>
          <w:sz w:val="22"/>
          <w:szCs w:val="22"/>
        </w:rPr>
      </w:pPr>
      <w:r w:rsidRPr="3E697515">
        <w:rPr>
          <w:rFonts w:asciiTheme="minorHAnsi" w:hAnsiTheme="minorHAnsi" w:cstheme="minorBidi"/>
          <w:sz w:val="22"/>
          <w:szCs w:val="22"/>
        </w:rPr>
        <w:t xml:space="preserve">We used the packages Survival </w:t>
      </w:r>
      <w:proofErr w:type="spellStart"/>
      <w:r w:rsidRPr="3E697515">
        <w:rPr>
          <w:rFonts w:asciiTheme="minorHAnsi" w:hAnsiTheme="minorHAnsi" w:cstheme="minorBidi"/>
          <w:sz w:val="22"/>
          <w:szCs w:val="22"/>
        </w:rPr>
        <w:t>ver</w:t>
      </w:r>
      <w:proofErr w:type="spellEnd"/>
      <w:r w:rsidRPr="3E697515">
        <w:rPr>
          <w:rFonts w:asciiTheme="minorHAnsi" w:hAnsiTheme="minorHAnsi" w:cstheme="minorBidi"/>
          <w:sz w:val="22"/>
          <w:szCs w:val="22"/>
        </w:rPr>
        <w:t xml:space="preserve"> 3.8 </w:t>
      </w:r>
      <w:r w:rsidR="55308F7B" w:rsidRPr="3E697515">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ORIL3PRy","properties":{"formattedCitation":"(34)","plainCitation":"(34)","noteIndex":0},"citationItems":[{"id":5502,"uris":["http://zotero.org/users/8183159/items/DSFWA8YL"],"itemData":{"id":5502,"type":"webpage","citation-key":"Therneau2019","container-title":"Survival Analysis","note":"page: https://github.com/therneau/survival","title":"R: Survival Analysis 3.1-8","URL":"https://stat.ethz.ch/R-manual/R-patched/library/survival/html/00Index.html","author":[{"family":"Therneau","given":"Terry M"},{"family":"Lumley","given":"Thomas"}],"accessed":{"date-parts":[["2020",3,13]]},"issued":{"date-parts":[["2019"]]}}}],"schema":"https://github.com/citation-style-language/schema/raw/master/csl-citation.json"} </w:instrText>
      </w:r>
      <w:r w:rsidR="55308F7B" w:rsidRPr="3E697515">
        <w:rPr>
          <w:rFonts w:asciiTheme="minorHAnsi" w:hAnsiTheme="minorHAnsi" w:cstheme="minorBidi"/>
          <w:sz w:val="22"/>
          <w:szCs w:val="22"/>
        </w:rPr>
        <w:fldChar w:fldCharType="separate"/>
      </w:r>
      <w:r w:rsidRPr="3E697515">
        <w:rPr>
          <w:rFonts w:asciiTheme="minorHAnsi" w:hAnsiTheme="minorHAnsi" w:cstheme="minorBidi"/>
          <w:noProof/>
          <w:sz w:val="22"/>
          <w:szCs w:val="22"/>
        </w:rPr>
        <w:t>(34)</w:t>
      </w:r>
      <w:r w:rsidR="55308F7B" w:rsidRPr="3E697515">
        <w:rPr>
          <w:rFonts w:asciiTheme="minorHAnsi" w:hAnsiTheme="minorHAnsi" w:cstheme="minorBidi"/>
          <w:sz w:val="22"/>
          <w:szCs w:val="22"/>
        </w:rPr>
        <w:fldChar w:fldCharType="end"/>
      </w:r>
      <w:r w:rsidRPr="3E697515">
        <w:rPr>
          <w:rFonts w:asciiTheme="minorHAnsi" w:hAnsiTheme="minorHAnsi" w:cstheme="minorBidi"/>
          <w:sz w:val="22"/>
          <w:szCs w:val="22"/>
        </w:rPr>
        <w:t xml:space="preserve"> in R (</w:t>
      </w:r>
      <w:proofErr w:type="spellStart"/>
      <w:r w:rsidRPr="3E697515">
        <w:rPr>
          <w:rFonts w:asciiTheme="minorHAnsi" w:hAnsiTheme="minorHAnsi" w:cstheme="minorBidi"/>
          <w:sz w:val="22"/>
          <w:szCs w:val="22"/>
        </w:rPr>
        <w:t>ver</w:t>
      </w:r>
      <w:proofErr w:type="spellEnd"/>
      <w:r w:rsidRPr="3E697515">
        <w:rPr>
          <w:rFonts w:asciiTheme="minorHAnsi" w:hAnsiTheme="minorHAnsi" w:cstheme="minorBidi"/>
          <w:sz w:val="22"/>
          <w:szCs w:val="22"/>
        </w:rPr>
        <w:t xml:space="preserve"> 4.3.1, </w:t>
      </w:r>
      <w:r w:rsidR="55308F7B" w:rsidRPr="3E697515">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{"citationID":"aH6eoXwO","properties":{"formattedCitation":"(R Core Team, 2021)","plainCitation":"(R Core Team, 2021)","dontUpdate":true,"noteIndex":0},"citationItems":[{"id":"jhYPt1yk/OkmUEHCt","uris":["http://zotero.org/users/5354645/items/UZXW5NST"],"itemData":{"id":871,"type":"book","event-place":"Vienna, Austria","publisher":"R Foundation for Statistical Computing","publisher-place":"Vienna, Austria","title":"R: A Language and Environment for Statistical Computing","URL":"https://www.R-project.org/","author":[{"literal":"R Core Team"}],"issued":{"date-parts":[["2021"]]}}}],"schema":"https://github.com/citation-style-language/schema/raw/master/csl-citation.json"} </w:instrText>
      </w:r>
      <w:r w:rsidR="55308F7B" w:rsidRPr="3E697515">
        <w:rPr>
          <w:rFonts w:asciiTheme="minorHAnsi" w:hAnsiTheme="minorHAnsi" w:cstheme="minorBidi"/>
          <w:sz w:val="22"/>
          <w:szCs w:val="22"/>
        </w:rPr>
        <w:fldChar w:fldCharType="separate"/>
      </w:r>
      <w:r w:rsidRPr="3E697515">
        <w:rPr>
          <w:rFonts w:asciiTheme="minorHAnsi" w:hAnsiTheme="minorHAnsi" w:cstheme="minorBidi"/>
          <w:sz w:val="22"/>
          <w:szCs w:val="22"/>
        </w:rPr>
        <w:t>R Core Team, 2021)</w:t>
      </w:r>
      <w:r w:rsidR="55308F7B" w:rsidRPr="3E697515">
        <w:rPr>
          <w:rFonts w:asciiTheme="minorHAnsi" w:hAnsiTheme="minorHAnsi" w:cstheme="minorBidi"/>
          <w:sz w:val="22"/>
          <w:szCs w:val="22"/>
        </w:rPr>
        <w:fldChar w:fldCharType="end"/>
      </w:r>
      <w:r w:rsidRPr="3E697515">
        <w:rPr>
          <w:rFonts w:asciiTheme="minorHAnsi" w:hAnsiTheme="minorHAnsi" w:cstheme="minorBidi"/>
          <w:sz w:val="22"/>
          <w:szCs w:val="22"/>
        </w:rPr>
        <w:t xml:space="preserve">, to calculate and plot Kaplan-Meier survivorship curves for the prior infected Bd+ (Bd-Bd) and naïve Bd+ (mock-Bd) animals. We conducted a log-rank test used to evaluate differences between prior infected and naïve groups. A Cox proportional hazard model evaluated the survival effects of prior infection, sex, weight, Bd load at 14 d after Bd treatment 1, and Bd load at 14 d after Bd treatment 2. Bd loads were standardized by </w:t>
      </w:r>
      <w:r w:rsidRPr="3E697515">
        <w:rPr>
          <w:rFonts w:asciiTheme="minorHAnsi" w:hAnsiTheme="minorHAnsi" w:cstheme="minorBidi"/>
          <w:sz w:val="22"/>
          <w:szCs w:val="22"/>
        </w:rPr>
        <w:lastRenderedPageBreak/>
        <w:t xml:space="preserve">subtracting the mean and dividing by the standard deviation at each time point so that hazard ratios (exponential of the coefficient) could be compared. </w:t>
      </w:r>
    </w:p>
    <w:p w14:paraId="093C7C23" w14:textId="6391017F" w:rsidR="005F3149" w:rsidRPr="00D16989" w:rsidRDefault="005F3149" w:rsidP="6F8377C0">
      <w:pPr>
        <w:tabs>
          <w:tab w:val="left" w:pos="2442"/>
        </w:tabs>
        <w:spacing w:line="480" w:lineRule="auto"/>
        <w:rPr>
          <w:rFonts w:asciiTheme="minorHAnsi" w:hAnsiTheme="minorHAnsi" w:cstheme="minorBidi"/>
          <w:b/>
          <w:bCs/>
          <w:sz w:val="22"/>
          <w:szCs w:val="22"/>
        </w:rPr>
      </w:pPr>
      <w:r w:rsidRPr="6F8377C0">
        <w:rPr>
          <w:rFonts w:asciiTheme="minorHAnsi" w:hAnsiTheme="minorHAnsi" w:cstheme="minorBidi"/>
          <w:b/>
          <w:bCs/>
          <w:sz w:val="22"/>
          <w:szCs w:val="22"/>
        </w:rPr>
        <w:t xml:space="preserve"> </w:t>
      </w:r>
    </w:p>
    <w:p w14:paraId="5B1F5E2A" w14:textId="47B9BC21" w:rsidR="00857422" w:rsidRPr="00D16989" w:rsidRDefault="00857422" w:rsidP="00547AFA">
      <w:pPr>
        <w:spacing w:line="480" w:lineRule="auto"/>
        <w:rPr>
          <w:rFonts w:asciiTheme="minorHAnsi" w:hAnsiTheme="minorHAnsi" w:cstheme="minorHAnsi"/>
          <w:b/>
          <w:bCs/>
          <w:sz w:val="22"/>
          <w:szCs w:val="22"/>
        </w:rPr>
      </w:pPr>
      <w:r w:rsidRPr="00D16989">
        <w:rPr>
          <w:rFonts w:asciiTheme="minorHAnsi" w:hAnsiTheme="minorHAnsi" w:cstheme="minorHAnsi"/>
          <w:b/>
          <w:bCs/>
          <w:sz w:val="22"/>
          <w:szCs w:val="22"/>
        </w:rPr>
        <w:t xml:space="preserve">Gene expression </w:t>
      </w:r>
      <w:r w:rsidR="007C10E3">
        <w:rPr>
          <w:rFonts w:asciiTheme="minorHAnsi" w:hAnsiTheme="minorHAnsi" w:cstheme="minorHAnsi"/>
          <w:b/>
          <w:bCs/>
          <w:sz w:val="22"/>
          <w:szCs w:val="22"/>
        </w:rPr>
        <w:t xml:space="preserve">data collection and </w:t>
      </w:r>
      <w:r w:rsidRPr="00D16989">
        <w:rPr>
          <w:rFonts w:asciiTheme="minorHAnsi" w:hAnsiTheme="minorHAnsi" w:cstheme="minorHAnsi"/>
          <w:b/>
          <w:bCs/>
          <w:sz w:val="22"/>
          <w:szCs w:val="22"/>
        </w:rPr>
        <w:t xml:space="preserve">analysis </w:t>
      </w:r>
    </w:p>
    <w:p w14:paraId="5D6C524A" w14:textId="069D39B7" w:rsidR="00857422" w:rsidRPr="00D16989" w:rsidRDefault="55308F7B" w:rsidP="552FBC60">
      <w:pPr>
        <w:spacing w:line="480" w:lineRule="auto"/>
        <w:rPr>
          <w:rFonts w:asciiTheme="minorHAnsi" w:hAnsiTheme="minorHAnsi" w:cstheme="minorBidi"/>
          <w:sz w:val="22"/>
          <w:szCs w:val="22"/>
        </w:rPr>
      </w:pPr>
      <w:r w:rsidRPr="55308F7B">
        <w:rPr>
          <w:rFonts w:asciiTheme="minorHAnsi" w:hAnsiTheme="minorHAnsi" w:cstheme="minorBidi"/>
          <w:sz w:val="22"/>
          <w:szCs w:val="22"/>
        </w:rPr>
        <w:t>To examine host gene expression, we conducted RNA sequencing (</w:t>
      </w:r>
      <w:proofErr w:type="spellStart"/>
      <w:r w:rsidRPr="55308F7B">
        <w:rPr>
          <w:rFonts w:asciiTheme="minorHAnsi" w:hAnsiTheme="minorHAnsi" w:cstheme="minorBidi"/>
          <w:sz w:val="22"/>
          <w:szCs w:val="22"/>
        </w:rPr>
        <w:t>RNAseq</w:t>
      </w:r>
      <w:proofErr w:type="spellEnd"/>
      <w:r w:rsidRPr="55308F7B">
        <w:rPr>
          <w:rFonts w:asciiTheme="minorHAnsi" w:hAnsiTheme="minorHAnsi" w:cstheme="minorBidi"/>
          <w:sz w:val="22"/>
          <w:szCs w:val="22"/>
        </w:rPr>
        <w:t xml:space="preserve">) on toe clips sampled at </w:t>
      </w:r>
      <w:r w:rsidR="00344D38">
        <w:rPr>
          <w:rFonts w:asciiTheme="minorHAnsi" w:hAnsiTheme="minorHAnsi" w:cstheme="minorBidi"/>
          <w:sz w:val="22"/>
          <w:szCs w:val="22"/>
        </w:rPr>
        <w:t>d</w:t>
      </w:r>
      <w:r w:rsidRPr="55308F7B">
        <w:rPr>
          <w:rFonts w:asciiTheme="minorHAnsi" w:hAnsiTheme="minorHAnsi" w:cstheme="minorBidi"/>
          <w:sz w:val="22"/>
          <w:szCs w:val="22"/>
        </w:rPr>
        <w:t>ays 14 (TP1) and 29 (TP2) after Bd treatment 2 from all five treatment groups (excluding animals found dead; 135 samples total). To increase the breadth of transcripts in our transcriptome assembly, we also sampled four toes and eight spleens from animals euthanized at the end of the experiment (Supplementary Figure S</w:t>
      </w:r>
      <w:r w:rsidR="001F1FE5">
        <w:rPr>
          <w:rFonts w:asciiTheme="minorHAnsi" w:hAnsiTheme="minorHAnsi" w:cstheme="minorBidi"/>
          <w:sz w:val="22"/>
          <w:szCs w:val="22"/>
        </w:rPr>
        <w:t>2</w:t>
      </w:r>
      <w:r w:rsidRPr="55308F7B">
        <w:rPr>
          <w:rFonts w:asciiTheme="minorHAnsi" w:hAnsiTheme="minorHAnsi" w:cstheme="minorBidi"/>
          <w:sz w:val="22"/>
          <w:szCs w:val="22"/>
        </w:rPr>
        <w:t xml:space="preserve">). We disrupted samples in 300 </w:t>
      </w:r>
      <w:proofErr w:type="spellStart"/>
      <w:r w:rsidRPr="55308F7B">
        <w:rPr>
          <w:rFonts w:asciiTheme="minorHAnsi" w:hAnsiTheme="minorHAnsi" w:cstheme="minorBidi"/>
          <w:sz w:val="22"/>
          <w:szCs w:val="22"/>
        </w:rPr>
        <w:t>μL</w:t>
      </w:r>
      <w:proofErr w:type="spellEnd"/>
      <w:r w:rsidRPr="55308F7B">
        <w:rPr>
          <w:rFonts w:asciiTheme="minorHAnsi" w:hAnsiTheme="minorHAnsi" w:cstheme="minorBidi"/>
          <w:sz w:val="22"/>
          <w:szCs w:val="22"/>
        </w:rPr>
        <w:t xml:space="preserve"> of RLT buffer (Qiagen) using </w:t>
      </w:r>
      <w:proofErr w:type="spellStart"/>
      <w:r w:rsidRPr="55308F7B">
        <w:rPr>
          <w:rFonts w:asciiTheme="minorHAnsi" w:hAnsiTheme="minorHAnsi" w:cstheme="minorBidi"/>
          <w:sz w:val="22"/>
          <w:szCs w:val="22"/>
        </w:rPr>
        <w:t>micropestles</w:t>
      </w:r>
      <w:proofErr w:type="spellEnd"/>
      <w:r w:rsidRPr="55308F7B">
        <w:rPr>
          <w:rFonts w:asciiTheme="minorHAnsi" w:hAnsiTheme="minorHAnsi" w:cstheme="minorBidi"/>
          <w:sz w:val="22"/>
          <w:szCs w:val="22"/>
        </w:rPr>
        <w:t xml:space="preserve"> (Merck Life Sciences) in a 1.5 mL</w:t>
      </w:r>
      <w:r w:rsidRPr="55308F7B">
        <w:rPr>
          <w:rFonts w:asciiTheme="minorHAnsi" w:hAnsiTheme="minorHAnsi" w:cstheme="minorBidi"/>
          <w:color w:val="000000" w:themeColor="text1"/>
          <w:sz w:val="22"/>
          <w:szCs w:val="22"/>
        </w:rPr>
        <w:t xml:space="preserve"> tubes. </w:t>
      </w:r>
      <w:r w:rsidRPr="55308F7B">
        <w:rPr>
          <w:rFonts w:asciiTheme="minorHAnsi" w:hAnsiTheme="minorHAnsi" w:cstheme="minorBidi"/>
          <w:sz w:val="22"/>
          <w:szCs w:val="22"/>
        </w:rPr>
        <w:t xml:space="preserve">We extracted total RNA from the homogenized tissue with EZ2 RNA/miRNA Tissue/Cells Kits (Qiagen) using the EZ2 Connect instrument (Qiagen) according to manufacturer’s instructions. We sent RNA extracts to </w:t>
      </w:r>
      <w:proofErr w:type="spellStart"/>
      <w:r w:rsidRPr="55308F7B">
        <w:rPr>
          <w:rFonts w:asciiTheme="minorHAnsi" w:hAnsiTheme="minorHAnsi" w:cstheme="minorBidi"/>
          <w:sz w:val="22"/>
          <w:szCs w:val="22"/>
        </w:rPr>
        <w:t>Azenta</w:t>
      </w:r>
      <w:proofErr w:type="spellEnd"/>
      <w:r w:rsidRPr="55308F7B">
        <w:rPr>
          <w:rFonts w:asciiTheme="minorHAnsi" w:hAnsiTheme="minorHAnsi" w:cstheme="minorBidi"/>
          <w:sz w:val="22"/>
          <w:szCs w:val="22"/>
        </w:rPr>
        <w:t xml:space="preserve"> Life Sciences for poly-A selection, library construction and sequencing. </w:t>
      </w:r>
      <w:proofErr w:type="spellStart"/>
      <w:r w:rsidRPr="55308F7B">
        <w:rPr>
          <w:rFonts w:asciiTheme="minorHAnsi" w:hAnsiTheme="minorHAnsi" w:cstheme="minorBidi"/>
          <w:sz w:val="22"/>
          <w:szCs w:val="22"/>
        </w:rPr>
        <w:t>NovaSeq</w:t>
      </w:r>
      <w:proofErr w:type="spellEnd"/>
      <w:r w:rsidRPr="55308F7B">
        <w:rPr>
          <w:rFonts w:asciiTheme="minorHAnsi" w:hAnsiTheme="minorHAnsi" w:cstheme="minorBidi"/>
          <w:sz w:val="22"/>
          <w:szCs w:val="22"/>
        </w:rPr>
        <w:t xml:space="preserve"> 2 x 150 libraries (Illumina) were prepared and sequenced on a </w:t>
      </w:r>
      <w:proofErr w:type="spellStart"/>
      <w:r w:rsidRPr="55308F7B">
        <w:rPr>
          <w:rFonts w:asciiTheme="minorHAnsi" w:hAnsiTheme="minorHAnsi" w:cstheme="minorBidi"/>
          <w:sz w:val="22"/>
          <w:szCs w:val="22"/>
        </w:rPr>
        <w:t>NovaSeq</w:t>
      </w:r>
      <w:proofErr w:type="spellEnd"/>
      <w:r w:rsidRPr="55308F7B">
        <w:rPr>
          <w:rFonts w:asciiTheme="minorHAnsi" w:hAnsiTheme="minorHAnsi" w:cstheme="minorBidi"/>
          <w:sz w:val="22"/>
          <w:szCs w:val="22"/>
        </w:rPr>
        <w:t xml:space="preserve"> instrument (Illumina) to produce ~20 million read pairs per sample.</w:t>
      </w:r>
    </w:p>
    <w:p w14:paraId="1F9DC357" w14:textId="77777777" w:rsidR="00857422" w:rsidRPr="00D16989" w:rsidRDefault="00857422" w:rsidP="00547AFA">
      <w:pPr>
        <w:spacing w:line="480" w:lineRule="auto"/>
        <w:rPr>
          <w:rFonts w:asciiTheme="minorHAnsi" w:hAnsiTheme="minorHAnsi" w:cstheme="minorHAnsi"/>
          <w:color w:val="000000" w:themeColor="text1"/>
          <w:sz w:val="22"/>
          <w:szCs w:val="22"/>
        </w:rPr>
      </w:pPr>
    </w:p>
    <w:p w14:paraId="025BAE03" w14:textId="78C7970F" w:rsidR="00857422" w:rsidRPr="00D16989" w:rsidRDefault="00857422" w:rsidP="00547AFA">
      <w:pPr>
        <w:spacing w:line="480" w:lineRule="auto"/>
        <w:rPr>
          <w:rFonts w:asciiTheme="minorHAnsi" w:hAnsiTheme="minorHAnsi" w:cstheme="minorHAnsi"/>
          <w:color w:val="000000" w:themeColor="text1"/>
          <w:sz w:val="22"/>
          <w:szCs w:val="22"/>
          <w:shd w:val="clear" w:color="auto" w:fill="FFFFFF"/>
        </w:rPr>
      </w:pPr>
      <w:r w:rsidRPr="00D16989">
        <w:rPr>
          <w:rFonts w:asciiTheme="minorHAnsi" w:hAnsiTheme="minorHAnsi" w:cstheme="minorHAnsi"/>
          <w:color w:val="000000" w:themeColor="text1"/>
          <w:sz w:val="22"/>
          <w:szCs w:val="22"/>
          <w:shd w:val="clear" w:color="auto" w:fill="FFFFFF"/>
        </w:rPr>
        <w:t xml:space="preserve">We automated the </w:t>
      </w:r>
      <w:proofErr w:type="spellStart"/>
      <w:r w:rsidRPr="00D16989">
        <w:rPr>
          <w:rFonts w:asciiTheme="minorHAnsi" w:hAnsiTheme="minorHAnsi" w:cstheme="minorHAnsi"/>
          <w:color w:val="000000" w:themeColor="text1"/>
          <w:sz w:val="22"/>
          <w:szCs w:val="22"/>
          <w:shd w:val="clear" w:color="auto" w:fill="FFFFFF"/>
        </w:rPr>
        <w:t>RNAseq</w:t>
      </w:r>
      <w:proofErr w:type="spellEnd"/>
      <w:r w:rsidRPr="00D16989">
        <w:rPr>
          <w:rFonts w:asciiTheme="minorHAnsi" w:hAnsiTheme="minorHAnsi" w:cstheme="minorHAnsi"/>
          <w:color w:val="000000" w:themeColor="text1"/>
          <w:sz w:val="22"/>
          <w:szCs w:val="22"/>
          <w:shd w:val="clear" w:color="auto" w:fill="FFFFFF"/>
        </w:rPr>
        <w:t xml:space="preserve"> bioinformatic analyses using a custom </w:t>
      </w:r>
      <w:proofErr w:type="spellStart"/>
      <w:r w:rsidRPr="00D16989">
        <w:rPr>
          <w:rFonts w:asciiTheme="minorHAnsi" w:hAnsiTheme="minorHAnsi" w:cstheme="minorHAnsi"/>
          <w:color w:val="000000" w:themeColor="text1"/>
          <w:sz w:val="22"/>
          <w:szCs w:val="22"/>
          <w:shd w:val="clear" w:color="auto" w:fill="FFFFFF"/>
        </w:rPr>
        <w:t>Snakemake</w:t>
      </w:r>
      <w:proofErr w:type="spellEnd"/>
      <w:r w:rsidR="003E13C9" w:rsidRPr="00D16989">
        <w:rPr>
          <w:rFonts w:asciiTheme="minorHAnsi" w:hAnsiTheme="minorHAnsi" w:cstheme="minorHAnsi"/>
          <w:color w:val="000000" w:themeColor="text1"/>
          <w:sz w:val="22"/>
          <w:szCs w:val="22"/>
          <w:shd w:val="clear" w:color="auto" w:fill="FFFFFF"/>
        </w:rPr>
        <w:t xml:space="preserve"> </w:t>
      </w:r>
      <w:r w:rsidR="00FE79E9" w:rsidRPr="00D16989">
        <w:rPr>
          <w:rFonts w:asciiTheme="minorHAnsi" w:hAnsiTheme="minorHAnsi" w:cstheme="minorHAnsi"/>
          <w:color w:val="000000" w:themeColor="text1"/>
          <w:sz w:val="22"/>
          <w:szCs w:val="22"/>
          <w:shd w:val="clear" w:color="auto" w:fill="FFFFFF"/>
        </w:rPr>
        <w:fldChar w:fldCharType="begin"/>
      </w:r>
      <w:r w:rsidR="00C91241">
        <w:rPr>
          <w:rFonts w:asciiTheme="minorHAnsi" w:hAnsiTheme="minorHAnsi" w:cstheme="minorHAnsi"/>
          <w:color w:val="000000" w:themeColor="text1"/>
          <w:sz w:val="22"/>
          <w:szCs w:val="22"/>
          <w:shd w:val="clear" w:color="auto" w:fill="FFFFFF"/>
        </w:rPr>
        <w:instrText xml:space="preserve"> ADDIN ZOTERO_ITEM CSL_CITATION {"citationID":"oS1Ibd0x","properties":{"formattedCitation":"(36)","plainCitation":"(36)","noteIndex":0},"citationItems":[{"id":18481,"uris":["http://zotero.org/users/8183159/items/8C7YBFL9"],"itemData":{"id":18481,"type":"article-journal","abstract":"Data analysis often entails a multitude of heterogeneous steps, from the application of various command line tools to the usage of scripting languages like R or Python for the generation of plots and tables. It is widely recognized that data analyses should ideally be conducted in a reproducible way. Reproducibility enables technical validation and regeneration of results on the original or even new data. However, reproducibility alone is by no means sufficient to deliver an analysis that is of lasting impact (i.e., sustainable) for the field, or even just one research group. We postulate that it is equally important to ensure adaptability and transparency. The former describes the ability to modify the analysis to answer extended or slightly different research questions. The latter describes the ability to understand the analysis in order to judge whether it is not only technically, but methodologically valid.\n            Here, we analyze the properties needed for a data analysis to become reproducible, adaptable, and transparent. We show how the popular workflow management system Snakemake can be used to guarantee this, and how it enables an ergonomic, combined, unified representation of all steps involved in data analysis, ranging from raw data processing, to quality control and fine-grained, interactive exploration and plotting of final results.","container-title":"F1000Research","DOI":"10.12688/f1000research.29032.1","ISSN":"2046-1402","journalAbbreviation":"F1000Res","language":"en","page":"33","source":"DOI.org (Crossref)","title":"Sustainable data analysis with Snakemake","volume":"10","author":[{"family":"Mölder","given":"Felix"},{"family":"Jablonski","given":"Kim Philipp"},{"family":"Letcher","given":"Brice"},{"family":"Hall","given":"Michael B."},{"family":"Tomkins-Tinch","given":"Christopher H."},{"family":"Sochat","given":"Vanessa"},{"family":"Forster","given":"Jan"},{"family":"Lee","given":"Soohyun"},{"family":"Twardziok","given":"Sven O."},{"family":"Kanitz","given":"Alexander"},{"family":"Wilm","given":"Andreas"},{"family":"Holtgrewe","given":"Manuel"},{"family":"Rahmann","given":"Sven"},{"family":"Nahnsen","given":"Sven"},{"family":"Köster","given":"Johannes"}],"issued":{"date-parts":[["2021",1,18]]}}}],"schema":"https://github.com/citation-style-language/schema/raw/master/csl-citation.json"} </w:instrText>
      </w:r>
      <w:r w:rsidR="00FE79E9" w:rsidRPr="00D16989">
        <w:rPr>
          <w:rFonts w:asciiTheme="minorHAnsi" w:hAnsiTheme="minorHAnsi" w:cstheme="minorHAnsi"/>
          <w:color w:val="000000" w:themeColor="text1"/>
          <w:sz w:val="22"/>
          <w:szCs w:val="22"/>
          <w:shd w:val="clear" w:color="auto" w:fill="FFFFFF"/>
        </w:rPr>
        <w:fldChar w:fldCharType="separate"/>
      </w:r>
      <w:r w:rsidR="00C91241">
        <w:rPr>
          <w:rFonts w:asciiTheme="minorHAnsi" w:eastAsiaTheme="minorHAnsi" w:hAnsiTheme="minorHAnsi" w:cstheme="minorHAnsi"/>
          <w:color w:val="000000"/>
          <w:sz w:val="22"/>
          <w:szCs w:val="22"/>
        </w:rPr>
        <w:t>(36)</w:t>
      </w:r>
      <w:r w:rsidR="00FE79E9" w:rsidRPr="00D16989">
        <w:rPr>
          <w:rFonts w:asciiTheme="minorHAnsi" w:hAnsiTheme="minorHAnsi" w:cstheme="minorHAnsi"/>
          <w:color w:val="000000" w:themeColor="text1"/>
          <w:sz w:val="22"/>
          <w:szCs w:val="22"/>
          <w:shd w:val="clear" w:color="auto" w:fill="FFFFFF"/>
        </w:rPr>
        <w:fldChar w:fldCharType="end"/>
      </w:r>
      <w:r w:rsidR="00FE79E9" w:rsidRPr="00D16989">
        <w:rPr>
          <w:rFonts w:asciiTheme="minorHAnsi" w:hAnsiTheme="minorHAnsi" w:cstheme="minorHAnsi"/>
          <w:color w:val="000000" w:themeColor="text1"/>
          <w:sz w:val="22"/>
          <w:szCs w:val="22"/>
          <w:shd w:val="clear" w:color="auto" w:fill="FFFFFF"/>
        </w:rPr>
        <w:t xml:space="preserve"> </w:t>
      </w:r>
      <w:r w:rsidRPr="00D16989">
        <w:rPr>
          <w:rFonts w:asciiTheme="minorHAnsi" w:hAnsiTheme="minorHAnsi" w:cstheme="minorHAnsi"/>
          <w:color w:val="000000" w:themeColor="text1"/>
          <w:sz w:val="22"/>
          <w:szCs w:val="22"/>
          <w:shd w:val="clear" w:color="auto" w:fill="FFFFFF"/>
        </w:rPr>
        <w:t xml:space="preserve">pipeline. We trimmed raw reads and removed adapter sequences using </w:t>
      </w:r>
      <w:proofErr w:type="spellStart"/>
      <w:r w:rsidRPr="00D16989">
        <w:rPr>
          <w:rFonts w:asciiTheme="minorHAnsi" w:hAnsiTheme="minorHAnsi" w:cstheme="minorHAnsi"/>
          <w:color w:val="000000" w:themeColor="text1"/>
          <w:sz w:val="22"/>
          <w:szCs w:val="22"/>
          <w:shd w:val="clear" w:color="auto" w:fill="FFFFFF"/>
        </w:rPr>
        <w:t>fastp</w:t>
      </w:r>
      <w:proofErr w:type="spellEnd"/>
      <w:r w:rsidRPr="00D16989">
        <w:rPr>
          <w:rFonts w:asciiTheme="minorHAnsi" w:hAnsiTheme="minorHAnsi" w:cstheme="minorHAnsi"/>
          <w:color w:val="000000" w:themeColor="text1"/>
          <w:sz w:val="22"/>
          <w:szCs w:val="22"/>
          <w:shd w:val="clear" w:color="auto" w:fill="FFFFFF"/>
        </w:rPr>
        <w:t xml:space="preserve"> v.0.23.4 </w:t>
      </w:r>
      <w:r w:rsidR="00FE79E9" w:rsidRPr="00D16989">
        <w:rPr>
          <w:rFonts w:asciiTheme="minorHAnsi" w:hAnsiTheme="minorHAnsi" w:cstheme="minorHAnsi"/>
          <w:color w:val="000000" w:themeColor="text1"/>
          <w:sz w:val="22"/>
          <w:szCs w:val="22"/>
          <w:shd w:val="clear" w:color="auto" w:fill="FFFFFF"/>
        </w:rPr>
        <w:fldChar w:fldCharType="begin"/>
      </w:r>
      <w:r w:rsidR="00C91241">
        <w:rPr>
          <w:rFonts w:asciiTheme="minorHAnsi" w:hAnsiTheme="minorHAnsi" w:cstheme="minorHAnsi"/>
          <w:color w:val="000000" w:themeColor="text1"/>
          <w:sz w:val="22"/>
          <w:szCs w:val="22"/>
          <w:shd w:val="clear" w:color="auto" w:fill="FFFFFF"/>
        </w:rPr>
        <w:instrText xml:space="preserve"> ADDIN ZOTERO_ITEM CSL_CITATION {"citationID":"BEgtMaR8","properties":{"formattedCitation":"(37)","plainCitation":"(37)","noteIndex":0},"citationItems":[{"id":18483,"uris":["http://zotero.org/users/8183159/items/9WHVHP9F"],"itemData":{"id":18483,"type":"article-journal","abstract":"Motivation: Quality control and preprocessing of FASTQ ﬁles are essential to providing clean data for downstream analysis. Traditionally, a different tool is used for each operation, such as quality control, adapter trimming and quality ﬁltering. These tools are often insufﬁciently fast as most are developed using high-level programming languages (e.g. Python and Java) and provide limited multi-threading support. Reading and loading data multiple times also renders preprocessing slow and I/O inefﬁcient.","container-title":"Bioinformatics","DOI":"10.1093/bioinformatics/bty560","ISSN":"1367-4803, 1367-4811","issue":"17","language":"en","license":"http://creativecommons.org/licenses/by-nc/4.0/","page":"i884-i890","source":"DOI.org (Crossref)","title":"fastp: an ultra-fast all-in-one FASTQ preprocessor","title-short":"fastp","volume":"34","author":[{"family":"Chen","given":"Shifu"},{"family":"Zhou","given":"Yanqing"},{"family":"Chen","given":"Yaru"},{"family":"Gu","given":"Jia"}],"issued":{"date-parts":[["2018",9,1]]}}}],"schema":"https://github.com/citation-style-language/schema/raw/master/csl-citation.json"} </w:instrText>
      </w:r>
      <w:r w:rsidR="00FE79E9" w:rsidRPr="00D16989">
        <w:rPr>
          <w:rFonts w:asciiTheme="minorHAnsi" w:hAnsiTheme="minorHAnsi" w:cstheme="minorHAnsi"/>
          <w:color w:val="000000" w:themeColor="text1"/>
          <w:sz w:val="22"/>
          <w:szCs w:val="22"/>
          <w:shd w:val="clear" w:color="auto" w:fill="FFFFFF"/>
        </w:rPr>
        <w:fldChar w:fldCharType="separate"/>
      </w:r>
      <w:r w:rsidR="00C91241">
        <w:rPr>
          <w:rFonts w:asciiTheme="minorHAnsi" w:hAnsiTheme="minorHAnsi" w:cstheme="minorHAnsi"/>
          <w:noProof/>
          <w:color w:val="000000" w:themeColor="text1"/>
          <w:sz w:val="22"/>
          <w:szCs w:val="22"/>
          <w:shd w:val="clear" w:color="auto" w:fill="FFFFFF"/>
        </w:rPr>
        <w:t>(37)</w:t>
      </w:r>
      <w:r w:rsidR="00FE79E9" w:rsidRPr="00D16989">
        <w:rPr>
          <w:rFonts w:asciiTheme="minorHAnsi" w:hAnsiTheme="minorHAnsi" w:cstheme="minorHAnsi"/>
          <w:color w:val="000000" w:themeColor="text1"/>
          <w:sz w:val="22"/>
          <w:szCs w:val="22"/>
          <w:shd w:val="clear" w:color="auto" w:fill="FFFFFF"/>
        </w:rPr>
        <w:fldChar w:fldCharType="end"/>
      </w:r>
      <w:r w:rsidR="00FE79E9" w:rsidRPr="00D16989">
        <w:rPr>
          <w:rFonts w:asciiTheme="minorHAnsi" w:hAnsiTheme="minorHAnsi" w:cstheme="minorHAnsi"/>
          <w:color w:val="000000" w:themeColor="text1"/>
          <w:sz w:val="22"/>
          <w:szCs w:val="22"/>
          <w:shd w:val="clear" w:color="auto" w:fill="FFFFFF"/>
        </w:rPr>
        <w:t xml:space="preserve"> </w:t>
      </w:r>
      <w:r w:rsidRPr="00D16989">
        <w:rPr>
          <w:rFonts w:asciiTheme="minorHAnsi" w:hAnsiTheme="minorHAnsi" w:cstheme="minorHAnsi"/>
          <w:color w:val="000000" w:themeColor="text1"/>
          <w:sz w:val="22"/>
          <w:szCs w:val="22"/>
          <w:shd w:val="clear" w:color="auto" w:fill="FFFFFF"/>
        </w:rPr>
        <w:t>using the "</w:t>
      </w:r>
      <w:proofErr w:type="spellStart"/>
      <w:r w:rsidRPr="00D16989">
        <w:rPr>
          <w:rFonts w:asciiTheme="minorHAnsi" w:hAnsiTheme="minorHAnsi" w:cstheme="minorHAnsi"/>
          <w:color w:val="000000" w:themeColor="text1"/>
          <w:sz w:val="22"/>
          <w:szCs w:val="22"/>
          <w:shd w:val="clear" w:color="auto" w:fill="FFFFFF"/>
        </w:rPr>
        <w:t>detect_adapter_for_pe</w:t>
      </w:r>
      <w:proofErr w:type="spellEnd"/>
      <w:r w:rsidRPr="00D16989">
        <w:rPr>
          <w:rFonts w:asciiTheme="minorHAnsi" w:hAnsiTheme="minorHAnsi" w:cstheme="minorHAnsi"/>
          <w:color w:val="000000" w:themeColor="text1"/>
          <w:sz w:val="22"/>
          <w:szCs w:val="22"/>
          <w:shd w:val="clear" w:color="auto" w:fill="FFFFFF"/>
        </w:rPr>
        <w:t xml:space="preserve">" setting. To remove rRNA and pathogen-derived reads, we used the program seal from the </w:t>
      </w:r>
      <w:proofErr w:type="spellStart"/>
      <w:r w:rsidRPr="00D16989">
        <w:rPr>
          <w:rFonts w:asciiTheme="minorHAnsi" w:hAnsiTheme="minorHAnsi" w:cstheme="minorHAnsi"/>
          <w:color w:val="000000" w:themeColor="text1"/>
          <w:sz w:val="22"/>
          <w:szCs w:val="22"/>
          <w:shd w:val="clear" w:color="auto" w:fill="FFFFFF"/>
        </w:rPr>
        <w:t>BBTools</w:t>
      </w:r>
      <w:proofErr w:type="spellEnd"/>
      <w:r w:rsidRPr="00D16989">
        <w:rPr>
          <w:rFonts w:asciiTheme="minorHAnsi" w:hAnsiTheme="minorHAnsi" w:cstheme="minorHAnsi"/>
          <w:color w:val="000000" w:themeColor="text1"/>
          <w:sz w:val="22"/>
          <w:szCs w:val="22"/>
          <w:shd w:val="clear" w:color="auto" w:fill="FFFFFF"/>
        </w:rPr>
        <w:t xml:space="preserve"> package v.37.62 </w:t>
      </w:r>
      <w:r w:rsidR="00FE79E9" w:rsidRPr="00D16989">
        <w:rPr>
          <w:rFonts w:asciiTheme="minorHAnsi" w:hAnsiTheme="minorHAnsi" w:cstheme="minorHAnsi"/>
          <w:color w:val="000000" w:themeColor="text1"/>
          <w:sz w:val="22"/>
          <w:szCs w:val="22"/>
          <w:shd w:val="clear" w:color="auto" w:fill="FFFFFF"/>
        </w:rPr>
        <w:fldChar w:fldCharType="begin"/>
      </w:r>
      <w:r w:rsidR="00C91241">
        <w:rPr>
          <w:rFonts w:asciiTheme="minorHAnsi" w:hAnsiTheme="minorHAnsi" w:cstheme="minorHAnsi"/>
          <w:color w:val="000000" w:themeColor="text1"/>
          <w:sz w:val="22"/>
          <w:szCs w:val="22"/>
          <w:shd w:val="clear" w:color="auto" w:fill="FFFFFF"/>
        </w:rPr>
        <w:instrText xml:space="preserve"> ADDIN ZOTERO_ITEM CSL_CITATION {"citationID":"otPgEksG","properties":{"formattedCitation":"(38)","plainCitation":"(38)","noteIndex":0},"citationItems":[{"id":18485,"uris":["http://zotero.org/users/8183159/items/AFSGYRGD"],"itemData":{"id":18485,"type":"article-journal","abstract":"Merging paired-end shotgun reads generated on high-throughput sequencing platforms can substantially improve various subsequent bioinformatics processes, including genome assembly, binning, mapping, annotation, and clustering for taxonomic analysis. With the inexorable growth of sequence data volume and CPU core counts, the speed and scalability of read-processing tools becomes ever-more important. The accuracy of shotgun read merging is crucial as well, as errors introduced by incorrect merging percolate through to reduce the quality of downstream analysis. Thus, we designed a new tool to maximize accuracy and minimize processing time, allowing the use of read merging on larger datasets, and in analyses highly sensitive to errors. We present BBMerge, a new merging tool for paired-end shotgun sequence data. We benchmark BBMerge by comparison with eight other widely used merging tools, assessing speed, accuracy and scalability. Evaluations of both synthetic and real-world datasets demonstrate that BBMerge produces merged shotgun reads with greater accuracy and at higher speed than any existing merging tool examined. BBMerge also provides the ability to merge non-overlapping shotgun read pairs by using k-mer frequency information to assemble the unsequenced gap between reads, achieving a significantly higher merge rate while maintaining or increasing accuracy.","container-title":"PLOS ONE","DOI":"10.1371/journal.pone.0185056","ISSN":"1932-6203","issue":"10","journalAbbreviation":"PLoS ONE","language":"en","page":"e0185056","source":"DOI.org (Crossref)","title":"BBMerge – Accurate paired shotgun read merging via overlap","volume":"12","author":[{"family":"Bushnell","given":"Brian"},{"family":"Rood","given":"Jonathan"},{"family":"Singer","given":"Esther"}],"editor":[{"family":"Biggs","given":"Patrick Jon"}],"issued":{"date-parts":[["2017",10,26]]}}}],"schema":"https://github.com/citation-style-language/schema/raw/master/csl-citation.json"} </w:instrText>
      </w:r>
      <w:r w:rsidR="00FE79E9" w:rsidRPr="00D16989">
        <w:rPr>
          <w:rFonts w:asciiTheme="minorHAnsi" w:hAnsiTheme="minorHAnsi" w:cstheme="minorHAnsi"/>
          <w:color w:val="000000" w:themeColor="text1"/>
          <w:sz w:val="22"/>
          <w:szCs w:val="22"/>
          <w:shd w:val="clear" w:color="auto" w:fill="FFFFFF"/>
        </w:rPr>
        <w:fldChar w:fldCharType="separate"/>
      </w:r>
      <w:r w:rsidR="00C91241">
        <w:rPr>
          <w:rFonts w:asciiTheme="minorHAnsi" w:hAnsiTheme="minorHAnsi" w:cstheme="minorHAnsi"/>
          <w:noProof/>
          <w:color w:val="000000" w:themeColor="text1"/>
          <w:sz w:val="22"/>
          <w:szCs w:val="22"/>
          <w:shd w:val="clear" w:color="auto" w:fill="FFFFFF"/>
        </w:rPr>
        <w:t>(38)</w:t>
      </w:r>
      <w:r w:rsidR="00FE79E9" w:rsidRPr="00D16989">
        <w:rPr>
          <w:rFonts w:asciiTheme="minorHAnsi" w:hAnsiTheme="minorHAnsi" w:cstheme="minorHAnsi"/>
          <w:color w:val="000000" w:themeColor="text1"/>
          <w:sz w:val="22"/>
          <w:szCs w:val="22"/>
          <w:shd w:val="clear" w:color="auto" w:fill="FFFFFF"/>
        </w:rPr>
        <w:fldChar w:fldCharType="end"/>
      </w:r>
      <w:r w:rsidR="00FE79E9" w:rsidRPr="00D16989">
        <w:rPr>
          <w:rFonts w:asciiTheme="minorHAnsi" w:hAnsiTheme="minorHAnsi" w:cstheme="minorHAnsi"/>
          <w:color w:val="000000" w:themeColor="text1"/>
          <w:sz w:val="22"/>
          <w:szCs w:val="22"/>
          <w:shd w:val="clear" w:color="auto" w:fill="FFFFFF"/>
        </w:rPr>
        <w:t xml:space="preserve"> </w:t>
      </w:r>
      <w:r w:rsidRPr="00D16989">
        <w:rPr>
          <w:rFonts w:asciiTheme="minorHAnsi" w:hAnsiTheme="minorHAnsi" w:cstheme="minorHAnsi"/>
          <w:color w:val="000000" w:themeColor="text1"/>
          <w:sz w:val="22"/>
          <w:szCs w:val="22"/>
          <w:shd w:val="clear" w:color="auto" w:fill="FFFFFF"/>
        </w:rPr>
        <w:t xml:space="preserve">using a speed setting of 15, and seven available Bd genome assemblies (NCBI accessions: GCA_000149865.1, GCA_029704095.1, GCF_000203795.2, GCA_000203795.2_ref, GCA_036289345.1, GCA_003595275.1, GCA_036783925.1) and the </w:t>
      </w:r>
      <w:proofErr w:type="spellStart"/>
      <w:r w:rsidRPr="00D16989">
        <w:rPr>
          <w:rFonts w:asciiTheme="minorHAnsi" w:hAnsiTheme="minorHAnsi" w:cstheme="minorHAnsi"/>
          <w:color w:val="000000" w:themeColor="text1"/>
          <w:sz w:val="22"/>
          <w:szCs w:val="22"/>
          <w:shd w:val="clear" w:color="auto" w:fill="FFFFFF"/>
        </w:rPr>
        <w:t>SortMeRNA</w:t>
      </w:r>
      <w:proofErr w:type="spellEnd"/>
      <w:r w:rsidRPr="00D16989">
        <w:rPr>
          <w:rFonts w:asciiTheme="minorHAnsi" w:hAnsiTheme="minorHAnsi" w:cstheme="minorHAnsi"/>
          <w:color w:val="000000" w:themeColor="text1"/>
          <w:sz w:val="22"/>
          <w:szCs w:val="22"/>
          <w:shd w:val="clear" w:color="auto" w:fill="FFFFFF"/>
        </w:rPr>
        <w:t xml:space="preserve"> </w:t>
      </w:r>
      <w:r w:rsidR="00FE79E9" w:rsidRPr="00D16989">
        <w:rPr>
          <w:rFonts w:asciiTheme="minorHAnsi" w:hAnsiTheme="minorHAnsi" w:cstheme="minorHAnsi"/>
          <w:color w:val="000000" w:themeColor="text1"/>
          <w:sz w:val="22"/>
          <w:szCs w:val="22"/>
          <w:shd w:val="clear" w:color="auto" w:fill="FFFFFF"/>
        </w:rPr>
        <w:fldChar w:fldCharType="begin"/>
      </w:r>
      <w:r w:rsidR="00C91241">
        <w:rPr>
          <w:rFonts w:asciiTheme="minorHAnsi" w:hAnsiTheme="minorHAnsi" w:cstheme="minorHAnsi"/>
          <w:color w:val="000000" w:themeColor="text1"/>
          <w:sz w:val="22"/>
          <w:szCs w:val="22"/>
          <w:shd w:val="clear" w:color="auto" w:fill="FFFFFF"/>
        </w:rPr>
        <w:instrText xml:space="preserve"> ADDIN ZOTERO_ITEM CSL_CITATION {"citationID":"DMok0BVR","properties":{"formattedCitation":"(39)","plainCitation":"(39)","noteIndex":0},"citationItems":[{"id":18489,"uris":["http://zotero.org/users/8183159/items/RXPLWI7F"],"itemData":{"id":18489,"type":"article-journal","abstract":"Motivation: The application of next-generation sequencing (NGS) technologies to RNAs directly extracted from a community of organisms yields a mixture of fragments characterizing both coding and non-coding types of RNAs. The task to distinguish among these and to further categorize the families of messenger RNAs and ribosomal RNAs (rRNAs) is an important step for examining gene expression patterns of an interactive environment and the phylogenetic classification of the constituting species.","container-title":"Bioinformatics","DOI":"10.1093/bioinformatics/bts611","ISSN":"1367-4811, 1367-4803","issue":"24","language":"en","page":"3211-3217","source":"DOI.org (Crossref)","title":"SortMeRNA: fast and accurate filtering of ribosomal RNAs in metatranscriptomic data","title-short":"SortMeRNA","volume":"28","author":[{"family":"Kopylova","given":"Evguenia"},{"family":"Noé","given":"Laurent"},{"family":"Touzet","given":"Hélène"}],"issued":{"date-parts":[["2012",12,1]]}}}],"schema":"https://github.com/citation-style-language/schema/raw/master/csl-citation.json"} </w:instrText>
      </w:r>
      <w:r w:rsidR="00FE79E9" w:rsidRPr="00D16989">
        <w:rPr>
          <w:rFonts w:asciiTheme="minorHAnsi" w:hAnsiTheme="minorHAnsi" w:cstheme="minorHAnsi"/>
          <w:color w:val="000000" w:themeColor="text1"/>
          <w:sz w:val="22"/>
          <w:szCs w:val="22"/>
          <w:shd w:val="clear" w:color="auto" w:fill="FFFFFF"/>
        </w:rPr>
        <w:fldChar w:fldCharType="separate"/>
      </w:r>
      <w:r w:rsidR="00C91241">
        <w:rPr>
          <w:rFonts w:asciiTheme="minorHAnsi" w:hAnsiTheme="minorHAnsi" w:cstheme="minorHAnsi"/>
          <w:noProof/>
          <w:color w:val="000000" w:themeColor="text1"/>
          <w:sz w:val="22"/>
          <w:szCs w:val="22"/>
          <w:shd w:val="clear" w:color="auto" w:fill="FFFFFF"/>
        </w:rPr>
        <w:t>(39)</w:t>
      </w:r>
      <w:r w:rsidR="00FE79E9" w:rsidRPr="00D16989">
        <w:rPr>
          <w:rFonts w:asciiTheme="minorHAnsi" w:hAnsiTheme="minorHAnsi" w:cstheme="minorHAnsi"/>
          <w:color w:val="000000" w:themeColor="text1"/>
          <w:sz w:val="22"/>
          <w:szCs w:val="22"/>
          <w:shd w:val="clear" w:color="auto" w:fill="FFFFFF"/>
        </w:rPr>
        <w:fldChar w:fldCharType="end"/>
      </w:r>
      <w:r w:rsidRPr="00D16989">
        <w:rPr>
          <w:rFonts w:asciiTheme="minorHAnsi" w:hAnsiTheme="minorHAnsi" w:cstheme="minorHAnsi"/>
          <w:color w:val="000000" w:themeColor="text1"/>
          <w:sz w:val="22"/>
          <w:szCs w:val="22"/>
          <w:shd w:val="clear" w:color="auto" w:fill="FFFFFF"/>
        </w:rPr>
        <w:t xml:space="preserve"> “smr_v4.3_default_db” rRNA database as references. We produced a de novo transcriptome assembly using the combined trimmed data of one sample for each treatment group/time point/tissue combination. For Bd exposed groups, we chose the sample with the highest Bd load and for unexposed </w:t>
      </w:r>
      <w:r w:rsidRPr="00D16989">
        <w:rPr>
          <w:rFonts w:asciiTheme="minorHAnsi" w:hAnsiTheme="minorHAnsi" w:cstheme="minorHAnsi"/>
          <w:color w:val="000000" w:themeColor="text1"/>
          <w:sz w:val="22"/>
          <w:szCs w:val="22"/>
          <w:shd w:val="clear" w:color="auto" w:fill="FFFFFF"/>
        </w:rPr>
        <w:lastRenderedPageBreak/>
        <w:t>groups we chose the sample with the most reads. We generated the transcriptome assembly using Trinity v.2.15.2 </w:t>
      </w:r>
      <w:r w:rsidR="00FE79E9" w:rsidRPr="00D16989">
        <w:rPr>
          <w:rFonts w:asciiTheme="minorHAnsi" w:hAnsiTheme="minorHAnsi" w:cstheme="minorHAnsi"/>
          <w:color w:val="000000" w:themeColor="text1"/>
          <w:sz w:val="22"/>
          <w:szCs w:val="22"/>
          <w:shd w:val="clear" w:color="auto" w:fill="FFFFFF"/>
        </w:rPr>
        <w:fldChar w:fldCharType="begin"/>
      </w:r>
      <w:r w:rsidR="00C91241">
        <w:rPr>
          <w:rFonts w:asciiTheme="minorHAnsi" w:hAnsiTheme="minorHAnsi" w:cstheme="minorHAnsi"/>
          <w:color w:val="000000" w:themeColor="text1"/>
          <w:sz w:val="22"/>
          <w:szCs w:val="22"/>
          <w:shd w:val="clear" w:color="auto" w:fill="FFFFFF"/>
        </w:rPr>
        <w:instrText xml:space="preserve"> ADDIN ZOTERO_ITEM CSL_CITATION {"citationID":"LkBRFCGm","properties":{"formattedCitation":"(40)","plainCitation":"(40)","noteIndex":0},"citationItems":[{"id":18491,"uris":["http://zotero.org/users/8183159/items/U4QNWTM3"],"itemData":{"id":18491,"type":"article-journal","container-title":"Nature Biotechnology","DOI":"10.1038/nbt.1883","ISSN":"1087-0156, 1546-1696","issue":"7","journalAbbreviation":"Nat Biotechnol","language":"en","page":"644-652","source":"DOI.org (Crossref)","title":"Full-length transcriptome assembly from RNA-Seq data without a reference genome","volume":"29","author":[{"family":"Grabherr","given":"Manfred G"},{"family":"Haas","given":"Brian J"},{"family":"Yassour","given":"Moran"},{"family":"Levin","given":"Joshua Z"},{"family":"Thompson","given":"Dawn A"},{"family":"Amit","given":"Ido"},{"family":"Adiconis","given":"Xian"},{"family":"Fan","given":"Lin"},{"family":"Raychowdhury","given":"Raktima"},{"family":"Zeng","given":"Qiandong"},{"family":"Chen","given":"Zehua"},{"family":"Mauceli","given":"Evan"},{"family":"Hacohen","given":"Nir"},{"family":"Gnirke","given":"Andreas"},{"family":"Rhind","given":"Nicholas"},{"family":"Di Palma","given":"Federica"},{"family":"Birren","given":"Bruce W"},{"family":"Nusbaum","given":"Chad"},{"family":"Lindblad-Toh","given":"Kerstin"},{"family":"Friedman","given":"Nir"},{"family":"Regev","given":"Aviv"}],"issued":{"date-parts":[["2011",7]]}}}],"schema":"https://github.com/citation-style-language/schema/raw/master/csl-citation.json"} </w:instrText>
      </w:r>
      <w:r w:rsidR="00FE79E9" w:rsidRPr="00D16989">
        <w:rPr>
          <w:rFonts w:asciiTheme="minorHAnsi" w:hAnsiTheme="minorHAnsi" w:cstheme="minorHAnsi"/>
          <w:color w:val="000000" w:themeColor="text1"/>
          <w:sz w:val="22"/>
          <w:szCs w:val="22"/>
          <w:shd w:val="clear" w:color="auto" w:fill="FFFFFF"/>
        </w:rPr>
        <w:fldChar w:fldCharType="separate"/>
      </w:r>
      <w:r w:rsidR="00C91241">
        <w:rPr>
          <w:rFonts w:asciiTheme="minorHAnsi" w:hAnsiTheme="minorHAnsi" w:cstheme="minorHAnsi"/>
          <w:noProof/>
          <w:color w:val="000000" w:themeColor="text1"/>
          <w:sz w:val="22"/>
          <w:szCs w:val="22"/>
          <w:shd w:val="clear" w:color="auto" w:fill="FFFFFF"/>
        </w:rPr>
        <w:t>(40)</w:t>
      </w:r>
      <w:r w:rsidR="00FE79E9" w:rsidRPr="00D16989">
        <w:rPr>
          <w:rFonts w:asciiTheme="minorHAnsi" w:hAnsiTheme="minorHAnsi" w:cstheme="minorHAnsi"/>
          <w:color w:val="000000" w:themeColor="text1"/>
          <w:sz w:val="22"/>
          <w:szCs w:val="22"/>
          <w:shd w:val="clear" w:color="auto" w:fill="FFFFFF"/>
        </w:rPr>
        <w:fldChar w:fldCharType="end"/>
      </w:r>
      <w:r w:rsidR="00FE79E9" w:rsidRPr="00D16989">
        <w:rPr>
          <w:rFonts w:asciiTheme="minorHAnsi" w:hAnsiTheme="minorHAnsi" w:cstheme="minorHAnsi"/>
          <w:color w:val="000000" w:themeColor="text1"/>
          <w:sz w:val="22"/>
          <w:szCs w:val="22"/>
          <w:shd w:val="clear" w:color="auto" w:fill="FFFFFF"/>
        </w:rPr>
        <w:t xml:space="preserve"> </w:t>
      </w:r>
      <w:r w:rsidRPr="00D16989">
        <w:rPr>
          <w:rFonts w:asciiTheme="minorHAnsi" w:hAnsiTheme="minorHAnsi" w:cstheme="minorHAnsi"/>
          <w:color w:val="000000" w:themeColor="text1"/>
          <w:sz w:val="22"/>
          <w:szCs w:val="22"/>
          <w:shd w:val="clear" w:color="auto" w:fill="FFFFFF"/>
        </w:rPr>
        <w:t xml:space="preserve">with default settings. We used </w:t>
      </w:r>
      <w:proofErr w:type="spellStart"/>
      <w:r w:rsidRPr="00D16989">
        <w:rPr>
          <w:rFonts w:asciiTheme="minorHAnsi" w:hAnsiTheme="minorHAnsi" w:cstheme="minorHAnsi"/>
          <w:color w:val="000000" w:themeColor="text1"/>
          <w:sz w:val="22"/>
          <w:szCs w:val="22"/>
          <w:shd w:val="clear" w:color="auto" w:fill="FFFFFF"/>
        </w:rPr>
        <w:t>TransDecoder</w:t>
      </w:r>
      <w:proofErr w:type="spellEnd"/>
      <w:r w:rsidRPr="00D16989">
        <w:rPr>
          <w:rFonts w:asciiTheme="minorHAnsi" w:hAnsiTheme="minorHAnsi" w:cstheme="minorHAnsi"/>
          <w:color w:val="000000" w:themeColor="text1"/>
          <w:sz w:val="22"/>
          <w:szCs w:val="22"/>
          <w:shd w:val="clear" w:color="auto" w:fill="FFFFFF"/>
        </w:rPr>
        <w:t xml:space="preserve"> v</w:t>
      </w:r>
      <w:r w:rsidRPr="00337BEE">
        <w:rPr>
          <w:rFonts w:asciiTheme="minorHAnsi" w:hAnsiTheme="minorHAnsi" w:cstheme="minorHAnsi"/>
          <w:sz w:val="22"/>
          <w:szCs w:val="22"/>
        </w:rPr>
        <w:t>.</w:t>
      </w:r>
      <w:r w:rsidRPr="00D16989">
        <w:rPr>
          <w:rFonts w:asciiTheme="minorHAnsi" w:hAnsiTheme="minorHAnsi" w:cstheme="minorHAnsi"/>
          <w:color w:val="000000" w:themeColor="text1"/>
          <w:sz w:val="22"/>
          <w:szCs w:val="22"/>
          <w:shd w:val="clear" w:color="auto" w:fill="FFFFFF"/>
        </w:rPr>
        <w:t xml:space="preserve">5.7.1 (available at https://github.com/TransDecoder) to predict open reading frames (ORFs) and extract predicted peptide sequences, which we functionally annotated using </w:t>
      </w:r>
      <w:proofErr w:type="spellStart"/>
      <w:r w:rsidRPr="00D16989">
        <w:rPr>
          <w:rFonts w:asciiTheme="minorHAnsi" w:hAnsiTheme="minorHAnsi" w:cstheme="minorHAnsi"/>
          <w:color w:val="000000" w:themeColor="text1"/>
          <w:sz w:val="22"/>
          <w:szCs w:val="22"/>
          <w:shd w:val="clear" w:color="auto" w:fill="FFFFFF"/>
        </w:rPr>
        <w:t>eggNOG</w:t>
      </w:r>
      <w:proofErr w:type="spellEnd"/>
      <w:r w:rsidRPr="00D16989">
        <w:rPr>
          <w:rFonts w:asciiTheme="minorHAnsi" w:hAnsiTheme="minorHAnsi" w:cstheme="minorHAnsi"/>
          <w:color w:val="000000" w:themeColor="text1"/>
          <w:sz w:val="22"/>
          <w:szCs w:val="22"/>
          <w:shd w:val="clear" w:color="auto" w:fill="FFFFFF"/>
        </w:rPr>
        <w:t>-mapper v.2.1.12 (</w:t>
      </w:r>
      <w:proofErr w:type="spellStart"/>
      <w:r w:rsidRPr="00D16989">
        <w:rPr>
          <w:rFonts w:asciiTheme="minorHAnsi" w:hAnsiTheme="minorHAnsi" w:cstheme="minorHAnsi"/>
          <w:color w:val="000000" w:themeColor="text1"/>
          <w:sz w:val="22"/>
          <w:szCs w:val="22"/>
          <w:shd w:val="clear" w:color="auto" w:fill="FFFFFF"/>
        </w:rPr>
        <w:t>Cantalapiedra</w:t>
      </w:r>
      <w:proofErr w:type="spellEnd"/>
      <w:r w:rsidRPr="00D16989">
        <w:rPr>
          <w:rFonts w:asciiTheme="minorHAnsi" w:hAnsiTheme="minorHAnsi" w:cstheme="minorHAnsi"/>
          <w:color w:val="000000" w:themeColor="text1"/>
          <w:sz w:val="22"/>
          <w:szCs w:val="22"/>
          <w:shd w:val="clear" w:color="auto" w:fill="FFFFFF"/>
        </w:rPr>
        <w:t xml:space="preserve"> et al., 2021) to obtain gene names and gene ontology (GO) terms. We assessed assembly quality and completeness using </w:t>
      </w:r>
      <w:proofErr w:type="spellStart"/>
      <w:r w:rsidRPr="00D16989">
        <w:rPr>
          <w:rFonts w:asciiTheme="minorHAnsi" w:hAnsiTheme="minorHAnsi" w:cstheme="minorHAnsi"/>
          <w:color w:val="000000" w:themeColor="text1"/>
          <w:sz w:val="22"/>
          <w:szCs w:val="22"/>
          <w:shd w:val="clear" w:color="auto" w:fill="FFFFFF"/>
        </w:rPr>
        <w:t>TransRate</w:t>
      </w:r>
      <w:proofErr w:type="spellEnd"/>
      <w:r w:rsidRPr="00D16989">
        <w:rPr>
          <w:rFonts w:asciiTheme="minorHAnsi" w:hAnsiTheme="minorHAnsi" w:cstheme="minorHAnsi"/>
          <w:color w:val="000000" w:themeColor="text1"/>
          <w:sz w:val="22"/>
          <w:szCs w:val="22"/>
          <w:shd w:val="clear" w:color="auto" w:fill="FFFFFF"/>
        </w:rPr>
        <w:t xml:space="preserve"> v.1.0.3 </w:t>
      </w:r>
      <w:r w:rsidR="00B05745" w:rsidRPr="00D16989">
        <w:rPr>
          <w:rFonts w:asciiTheme="minorHAnsi" w:hAnsiTheme="minorHAnsi" w:cstheme="minorHAnsi"/>
          <w:color w:val="000000" w:themeColor="text1"/>
          <w:sz w:val="22"/>
          <w:szCs w:val="22"/>
          <w:shd w:val="clear" w:color="auto" w:fill="FFFFFF"/>
        </w:rPr>
        <w:fldChar w:fldCharType="begin"/>
      </w:r>
      <w:r w:rsidR="00C91241">
        <w:rPr>
          <w:rFonts w:asciiTheme="minorHAnsi" w:hAnsiTheme="minorHAnsi" w:cstheme="minorHAnsi"/>
          <w:color w:val="000000" w:themeColor="text1"/>
          <w:sz w:val="22"/>
          <w:szCs w:val="22"/>
          <w:shd w:val="clear" w:color="auto" w:fill="FFFFFF"/>
        </w:rPr>
        <w:instrText xml:space="preserve"> ADDIN ZOTERO_ITEM CSL_CITATION {"citationID":"sMxEOUFy","properties":{"formattedCitation":"(41)","plainCitation":"(41)","noteIndex":0},"citationItems":[{"id":18495,"uris":["http://zotero.org/users/8183159/items/L9RWE6B8"],"itemData":{"id":18495,"type":"article-journal","abstract":"TransRate is a tool for reference-free quality assessment of de novo transcriptome assemblies. Using only the sequenced reads and the assembly as input, we show that multiple common artifacts of de novo transcriptome assembly can be readily detected. These include chimeras, structural errors, incomplete assembly, and base errors. TransRate evaluates these errors to produce a diagnostic quality score for each contig, and these contig scores are integrated to evaluate whole assemblies. Thus, TransRate can be used for de novo assembly filtering and optimization as well as comparison of assemblies generated using different methods from the same input reads. Applying the method to a data set of 155 published de novo transcriptome assemblies, we deconstruct the contribution that assembly method, read length, read quantity, and read quality make to the accuracy of de novo transcriptome assemblies and reveal that variance in the quality of the input data explains 43% of the variance in the quality of published de novo transcriptome assemblies. Because TransRate is reference-free, it is suitable for assessment of assemblies of all types of RNA, including assemblies of long noncoding RNA, rRNA, mRNA, and mixed RNA samples.","container-title":"Genome Research","DOI":"10.1101/gr.196469.115","ISSN":"1088-9051, 1549-5469","issue":"8","journalAbbreviation":"Genome Res.","language":"en","page":"1134-1144","source":"DOI.org (Crossref)","title":"TransRate: reference-free quality assessment of de novo transcriptome assemblies","title-short":"TransRate","volume":"26","author":[{"family":"Smith-Unna","given":"Richard"},{"family":"Boursnell","given":"Chris"},{"family":"Patro","given":"Rob"},{"family":"Hibberd","given":"Julian M."},{"family":"Kelly","given":"Steven"}],"issued":{"date-parts":[["2016",8]]}}}],"schema":"https://github.com/citation-style-language/schema/raw/master/csl-citation.json"} </w:instrText>
      </w:r>
      <w:r w:rsidR="00B05745" w:rsidRPr="00D16989">
        <w:rPr>
          <w:rFonts w:asciiTheme="minorHAnsi" w:hAnsiTheme="minorHAnsi" w:cstheme="minorHAnsi"/>
          <w:color w:val="000000" w:themeColor="text1"/>
          <w:sz w:val="22"/>
          <w:szCs w:val="22"/>
          <w:shd w:val="clear" w:color="auto" w:fill="FFFFFF"/>
        </w:rPr>
        <w:fldChar w:fldCharType="separate"/>
      </w:r>
      <w:r w:rsidR="00C91241">
        <w:rPr>
          <w:rFonts w:asciiTheme="minorHAnsi" w:hAnsiTheme="minorHAnsi" w:cstheme="minorHAnsi"/>
          <w:noProof/>
          <w:color w:val="000000" w:themeColor="text1"/>
          <w:sz w:val="22"/>
          <w:szCs w:val="22"/>
          <w:shd w:val="clear" w:color="auto" w:fill="FFFFFF"/>
        </w:rPr>
        <w:t>(41)</w:t>
      </w:r>
      <w:r w:rsidR="00B05745" w:rsidRPr="00D16989">
        <w:rPr>
          <w:rFonts w:asciiTheme="minorHAnsi" w:hAnsiTheme="minorHAnsi" w:cstheme="minorHAnsi"/>
          <w:color w:val="000000" w:themeColor="text1"/>
          <w:sz w:val="22"/>
          <w:szCs w:val="22"/>
          <w:shd w:val="clear" w:color="auto" w:fill="FFFFFF"/>
        </w:rPr>
        <w:fldChar w:fldCharType="end"/>
      </w:r>
      <w:r w:rsidR="00B05745" w:rsidRPr="00D16989">
        <w:rPr>
          <w:rFonts w:asciiTheme="minorHAnsi" w:hAnsiTheme="minorHAnsi" w:cstheme="minorHAnsi"/>
          <w:color w:val="000000" w:themeColor="text1"/>
          <w:sz w:val="22"/>
          <w:szCs w:val="22"/>
          <w:shd w:val="clear" w:color="auto" w:fill="FFFFFF"/>
        </w:rPr>
        <w:t xml:space="preserve"> </w:t>
      </w:r>
      <w:r w:rsidRPr="00D16989">
        <w:rPr>
          <w:rFonts w:asciiTheme="minorHAnsi" w:hAnsiTheme="minorHAnsi" w:cstheme="minorHAnsi"/>
          <w:color w:val="000000" w:themeColor="text1"/>
          <w:sz w:val="22"/>
          <w:szCs w:val="22"/>
          <w:shd w:val="clear" w:color="auto" w:fill="FFFFFF"/>
        </w:rPr>
        <w:t xml:space="preserve">and BUSCO v.5.8.0 </w:t>
      </w:r>
      <w:r w:rsidR="00B05745" w:rsidRPr="00D16989">
        <w:rPr>
          <w:rFonts w:asciiTheme="minorHAnsi" w:hAnsiTheme="minorHAnsi" w:cstheme="minorHAnsi"/>
          <w:color w:val="000000" w:themeColor="text1"/>
          <w:sz w:val="22"/>
          <w:szCs w:val="22"/>
          <w:shd w:val="clear" w:color="auto" w:fill="FFFFFF"/>
        </w:rPr>
        <w:fldChar w:fldCharType="begin"/>
      </w:r>
      <w:r w:rsidR="00C91241">
        <w:rPr>
          <w:rFonts w:asciiTheme="minorHAnsi" w:hAnsiTheme="minorHAnsi" w:cstheme="minorHAnsi"/>
          <w:color w:val="000000" w:themeColor="text1"/>
          <w:sz w:val="22"/>
          <w:szCs w:val="22"/>
          <w:shd w:val="clear" w:color="auto" w:fill="FFFFFF"/>
        </w:rPr>
        <w:instrText xml:space="preserve"> ADDIN ZOTERO_ITEM CSL_CITATION {"citationID":"3UjXFEFU","properties":{"formattedCitation":"(42)","plainCitation":"(42)","noteIndex":0},"citationItems":[{"id":18497,"uris":["http://zotero.org/users/8183159/items/XDCSDQLC"],"itemData":{"id":18497,"type":"article-journal","abstract":"Motivation: Genomics has revolutionized biological research, but quality assessment of the resulting assembled sequences is complicated and remains mostly limited to technical measures like N50. Results: We propose a measure for quantitative assessment of genome assembly and annotation completeness based on evolutionarily informed expectations of gene content. We implemented the assessment procedure in open-source software, with sets of Benchmarking Universal SingleCopy Orthologs, named BUSCO.","container-title":"Bioinformatics","DOI":"10.1093/bioinformatics/btv351","ISSN":"1367-4811, 1367-4803","issue":"19","language":"en","page":"3210-3212","source":"DOI.org (Crossref)","title":"BUSCO: assessing genome assembly and annotation completeness with single-copy orthologs","title-short":"BUSCO","volume":"31","author":[{"family":"Simão","given":"Felipe A."},{"family":"Waterhouse","given":"Robert M."},{"family":"Ioannidis","given":"Panagiotis"},{"family":"Kriventseva","given":"Evgenia V."},{"family":"Zdobnov","given":"Evgeny M."}],"issued":{"date-parts":[["2015",10,1]]}}}],"schema":"https://github.com/citation-style-language/schema/raw/master/csl-citation.json"} </w:instrText>
      </w:r>
      <w:r w:rsidR="00B05745" w:rsidRPr="00D16989">
        <w:rPr>
          <w:rFonts w:asciiTheme="minorHAnsi" w:hAnsiTheme="minorHAnsi" w:cstheme="minorHAnsi"/>
          <w:color w:val="000000" w:themeColor="text1"/>
          <w:sz w:val="22"/>
          <w:szCs w:val="22"/>
          <w:shd w:val="clear" w:color="auto" w:fill="FFFFFF"/>
        </w:rPr>
        <w:fldChar w:fldCharType="separate"/>
      </w:r>
      <w:r w:rsidR="00C91241">
        <w:rPr>
          <w:rFonts w:asciiTheme="minorHAnsi" w:eastAsiaTheme="minorHAnsi" w:hAnsiTheme="minorHAnsi" w:cstheme="minorHAnsi"/>
          <w:color w:val="000000"/>
          <w:sz w:val="22"/>
          <w:szCs w:val="22"/>
        </w:rPr>
        <w:t>(42)</w:t>
      </w:r>
      <w:r w:rsidR="00B05745" w:rsidRPr="00D16989">
        <w:rPr>
          <w:rFonts w:asciiTheme="minorHAnsi" w:hAnsiTheme="minorHAnsi" w:cstheme="minorHAnsi"/>
          <w:color w:val="000000" w:themeColor="text1"/>
          <w:sz w:val="22"/>
          <w:szCs w:val="22"/>
          <w:shd w:val="clear" w:color="auto" w:fill="FFFFFF"/>
        </w:rPr>
        <w:fldChar w:fldCharType="end"/>
      </w:r>
      <w:r w:rsidR="00B05745" w:rsidRPr="00D16989">
        <w:rPr>
          <w:rFonts w:asciiTheme="minorHAnsi" w:hAnsiTheme="minorHAnsi" w:cstheme="minorHAnsi"/>
          <w:color w:val="000000" w:themeColor="text1"/>
          <w:sz w:val="22"/>
          <w:szCs w:val="22"/>
          <w:shd w:val="clear" w:color="auto" w:fill="FFFFFF"/>
        </w:rPr>
        <w:t xml:space="preserve"> </w:t>
      </w:r>
      <w:r w:rsidRPr="00D16989">
        <w:rPr>
          <w:rFonts w:asciiTheme="minorHAnsi" w:hAnsiTheme="minorHAnsi" w:cstheme="minorHAnsi"/>
          <w:color w:val="000000" w:themeColor="text1"/>
          <w:sz w:val="22"/>
          <w:szCs w:val="22"/>
          <w:shd w:val="clear" w:color="auto" w:fill="FFFFFF"/>
        </w:rPr>
        <w:t xml:space="preserve">in peptide mode using the “metazoa_odb10” gene set. We quantified transcript expression using Salmon v.1.10.3 </w:t>
      </w:r>
      <w:r w:rsidR="00585FA5" w:rsidRPr="00D16989">
        <w:rPr>
          <w:rFonts w:asciiTheme="minorHAnsi" w:hAnsiTheme="minorHAnsi" w:cstheme="minorHAnsi"/>
          <w:color w:val="000000" w:themeColor="text1"/>
          <w:sz w:val="22"/>
          <w:szCs w:val="22"/>
          <w:shd w:val="clear" w:color="auto" w:fill="FFFFFF"/>
        </w:rPr>
        <w:fldChar w:fldCharType="begin"/>
      </w:r>
      <w:r w:rsidR="006159DD">
        <w:rPr>
          <w:rFonts w:asciiTheme="minorHAnsi" w:hAnsiTheme="minorHAnsi" w:cstheme="minorHAnsi"/>
          <w:color w:val="000000" w:themeColor="text1"/>
          <w:sz w:val="22"/>
          <w:szCs w:val="22"/>
          <w:shd w:val="clear" w:color="auto" w:fill="FFFFFF"/>
        </w:rPr>
        <w:instrText xml:space="preserve"> ADDIN ZOTERO_ITEM CSL_CITATION {"citationID":"XNHz8h92","properties":{"formattedCitation":"(43)","plainCitation":"(43)","noteIndex":0},"citationItems":[{"id":18498,"uris":["http://zotero.org/users/8183159/items/NGZZ4WL4"],"itemData":{"id":18498,"type":"article-journal","abstract":"Salmon is a computational tool that uses sample-specific models and a dual-phase inference procedure to correct biases in RNA-seq data and rapidly quantify transcript abundances.","container-title":"Nature Methods","DOI":"10.1038/nmeth.4197","ISSN":"1548-7105","issue":"4","journalAbbreviation":"Nat Methods","language":"en","license":"2017 Springer Nature America, Inc.","page":"417-419","publisher":"Nature Publishing Group","source":"www.nature.com","title":"Salmon provides fast and bias-aware quantification of transcript expression","volume":"14","author":[{"family":"Patro","given":"Rob"},{"family":"Duggal","given":"Geet"},{"family":"Love","given":"Michael I."},{"family":"Irizarry","given":"Rafael A."},{"family":"Kingsford","given":"Carl"}],"issued":{"date-parts":[["2017",4]]}}}],"schema":"https://github.com/citation-style-language/schema/raw/master/csl-citation.json"} </w:instrText>
      </w:r>
      <w:r w:rsidR="00585FA5" w:rsidRPr="00D16989">
        <w:rPr>
          <w:rFonts w:asciiTheme="minorHAnsi" w:hAnsiTheme="minorHAnsi" w:cstheme="minorHAnsi"/>
          <w:color w:val="000000" w:themeColor="text1"/>
          <w:sz w:val="22"/>
          <w:szCs w:val="22"/>
          <w:shd w:val="clear" w:color="auto" w:fill="FFFFFF"/>
        </w:rPr>
        <w:fldChar w:fldCharType="separate"/>
      </w:r>
      <w:r w:rsidR="00C91241">
        <w:rPr>
          <w:rFonts w:asciiTheme="minorHAnsi" w:hAnsiTheme="minorHAnsi" w:cstheme="minorHAnsi"/>
          <w:noProof/>
          <w:color w:val="000000" w:themeColor="text1"/>
          <w:sz w:val="22"/>
          <w:szCs w:val="22"/>
          <w:shd w:val="clear" w:color="auto" w:fill="FFFFFF"/>
        </w:rPr>
        <w:t>(43)</w:t>
      </w:r>
      <w:r w:rsidR="00585FA5" w:rsidRPr="00D16989">
        <w:rPr>
          <w:rFonts w:asciiTheme="minorHAnsi" w:hAnsiTheme="minorHAnsi" w:cstheme="minorHAnsi"/>
          <w:color w:val="000000" w:themeColor="text1"/>
          <w:sz w:val="22"/>
          <w:szCs w:val="22"/>
          <w:shd w:val="clear" w:color="auto" w:fill="FFFFFF"/>
        </w:rPr>
        <w:fldChar w:fldCharType="end"/>
      </w:r>
      <w:r w:rsidR="00585FA5" w:rsidRPr="00D16989">
        <w:rPr>
          <w:rFonts w:asciiTheme="minorHAnsi" w:hAnsiTheme="minorHAnsi" w:cstheme="minorHAnsi"/>
          <w:color w:val="000000" w:themeColor="text1"/>
          <w:sz w:val="22"/>
          <w:szCs w:val="22"/>
          <w:shd w:val="clear" w:color="auto" w:fill="FFFFFF"/>
        </w:rPr>
        <w:t>.</w:t>
      </w:r>
    </w:p>
    <w:p w14:paraId="122F4E8F" w14:textId="77777777" w:rsidR="00857422" w:rsidRPr="00D16989" w:rsidRDefault="00857422" w:rsidP="00547AFA">
      <w:pPr>
        <w:spacing w:line="480" w:lineRule="auto"/>
        <w:rPr>
          <w:rFonts w:asciiTheme="minorHAnsi" w:hAnsiTheme="minorHAnsi" w:cstheme="minorHAnsi"/>
          <w:color w:val="000000" w:themeColor="text1"/>
          <w:sz w:val="22"/>
          <w:szCs w:val="22"/>
          <w:shd w:val="clear" w:color="auto" w:fill="FFFFFF"/>
        </w:rPr>
      </w:pPr>
    </w:p>
    <w:p w14:paraId="564BA87A" w14:textId="3F83C92F" w:rsidR="000E7C31" w:rsidRDefault="00857422" w:rsidP="46D096E7">
      <w:pPr>
        <w:spacing w:line="480" w:lineRule="auto"/>
        <w:rPr>
          <w:rFonts w:ascii="Calibri" w:hAnsi="Calibri"/>
          <w:color w:val="000000"/>
          <w:sz w:val="22"/>
          <w:szCs w:val="22"/>
          <w:shd w:val="clear" w:color="auto" w:fill="FFFFFF"/>
        </w:rPr>
      </w:pPr>
      <w:r w:rsidRPr="6CD91A3F">
        <w:rPr>
          <w:rFonts w:asciiTheme="minorHAnsi" w:hAnsiTheme="minorHAnsi" w:cstheme="minorBidi"/>
          <w:color w:val="000000" w:themeColor="text1"/>
          <w:sz w:val="22"/>
          <w:szCs w:val="22"/>
          <w:shd w:val="clear" w:color="auto" w:fill="FFFFFF"/>
        </w:rPr>
        <w:t xml:space="preserve">We conducted subsequent </w:t>
      </w:r>
      <w:proofErr w:type="spellStart"/>
      <w:r w:rsidRPr="6CD91A3F">
        <w:rPr>
          <w:rFonts w:asciiTheme="minorHAnsi" w:hAnsiTheme="minorHAnsi" w:cstheme="minorBidi"/>
          <w:color w:val="000000" w:themeColor="text1"/>
          <w:sz w:val="22"/>
          <w:szCs w:val="22"/>
          <w:shd w:val="clear" w:color="auto" w:fill="FFFFFF"/>
        </w:rPr>
        <w:t>RNAseq</w:t>
      </w:r>
      <w:proofErr w:type="spellEnd"/>
      <w:r w:rsidRPr="6CD91A3F">
        <w:rPr>
          <w:rFonts w:asciiTheme="minorHAnsi" w:hAnsiTheme="minorHAnsi" w:cstheme="minorBidi"/>
          <w:color w:val="000000" w:themeColor="text1"/>
          <w:sz w:val="22"/>
          <w:szCs w:val="22"/>
          <w:shd w:val="clear" w:color="auto" w:fill="FFFFFF"/>
        </w:rPr>
        <w:t xml:space="preserve"> analyses in R v.4.5.0 (</w:t>
      </w:r>
      <w:r w:rsidRPr="6CD91A3F">
        <w:rPr>
          <w:rFonts w:asciiTheme="minorHAnsi" w:hAnsiTheme="minorHAnsi" w:cstheme="minorBidi"/>
          <w:sz w:val="22"/>
          <w:szCs w:val="22"/>
        </w:rPr>
        <w:t>R Core Team, 2025)</w:t>
      </w:r>
      <w:r w:rsidRPr="6CD91A3F">
        <w:rPr>
          <w:rFonts w:asciiTheme="minorHAnsi" w:hAnsiTheme="minorHAnsi" w:cstheme="minorBidi"/>
          <w:color w:val="000000" w:themeColor="text1"/>
          <w:sz w:val="22"/>
          <w:szCs w:val="22"/>
          <w:shd w:val="clear" w:color="auto" w:fill="FFFFFF"/>
        </w:rPr>
        <w:t xml:space="preserve">. We imported transcript expression estimates into R using </w:t>
      </w:r>
      <w:proofErr w:type="spellStart"/>
      <w:r w:rsidRPr="6CD91A3F">
        <w:rPr>
          <w:rFonts w:asciiTheme="minorHAnsi" w:hAnsiTheme="minorHAnsi" w:cstheme="minorBidi"/>
          <w:color w:val="000000" w:themeColor="text1"/>
          <w:sz w:val="22"/>
          <w:szCs w:val="22"/>
          <w:shd w:val="clear" w:color="auto" w:fill="FFFFFF"/>
        </w:rPr>
        <w:t>tximport</w:t>
      </w:r>
      <w:proofErr w:type="spellEnd"/>
      <w:r w:rsidRPr="6CD91A3F">
        <w:rPr>
          <w:rFonts w:asciiTheme="minorHAnsi" w:hAnsiTheme="minorHAnsi" w:cstheme="minorBidi"/>
          <w:color w:val="000000" w:themeColor="text1"/>
          <w:sz w:val="22"/>
          <w:szCs w:val="22"/>
          <w:shd w:val="clear" w:color="auto" w:fill="FFFFFF"/>
        </w:rPr>
        <w:t xml:space="preserve"> v.1.30.0 </w:t>
      </w:r>
      <w:r w:rsidR="00585FA5" w:rsidRPr="6CD91A3F">
        <w:rPr>
          <w:rFonts w:asciiTheme="minorHAnsi" w:hAnsiTheme="minorHAnsi" w:cstheme="minorBidi"/>
          <w:color w:val="000000" w:themeColor="text1"/>
          <w:sz w:val="22"/>
          <w:szCs w:val="22"/>
          <w:shd w:val="clear" w:color="auto" w:fill="FFFFFF"/>
        </w:rPr>
        <w:fldChar w:fldCharType="begin"/>
      </w:r>
      <w:r w:rsidR="00C91241" w:rsidRPr="6CD91A3F">
        <w:rPr>
          <w:rFonts w:asciiTheme="minorHAnsi" w:hAnsiTheme="minorHAnsi" w:cstheme="minorBidi"/>
          <w:color w:val="000000" w:themeColor="text1"/>
          <w:sz w:val="22"/>
          <w:szCs w:val="22"/>
          <w:shd w:val="clear" w:color="auto" w:fill="FFFFFF"/>
        </w:rPr>
        <w:instrText xml:space="preserve"> ADDIN ZOTERO_ITEM CSL_CITATION {"citationID":"oSDBrCBp","properties":{"formattedCitation":"(44)","plainCitation":"(44)","noteIndex":0},"citationItems":[{"id":18503,"uris":["http://zotero.org/users/8183159/items/55CX2J76"],"itemData":{"id":18503,"type":"article-journal","abstract":"High-throughput sequencing of cDNA (RNA-seq) is used extensively to characterize the transcriptome of cells. Many transcriptomic studies aim at comparing either abundance levels or the transcriptome composition between given conditions, and as a first step, the sequencing reads must be used as the basis for abundance quantification of transcriptomic features of interest, such as genes or transcripts. Several different quantification approaches have been proposed, ranging from simple counting of reads that overlap given genomic regions to more complex estimation of underlying transcript abundances. In this paper, we show that gene-level abundance estimates and statistical inference offer advantages over transcriptlevel analyses, in terms of performance and interpretability. We also illustrate that while the presence of differential isoform usage can lead to inflated false discovery rates in differential expression analyses on simple count matrices and transcript-level abundance estimates improve the performance in simulated data, the difference is relatively minor in several real data sets. Finally, we provide an R package ( tximport) to help users integrate transcript-level abundance estimates from common quantification pipelines into count-based statistical inference engines.","container-title":"F1000Research","DOI":"10.12688/f1000research.7563.1","ISSN":"2046-1402","journalAbbreviation":"F1000Res","language":"en","page":"1521","source":"DOI.org (Crossref)","title":"Differential analyses for RNA-seq: transcript-level estimates improve gene-level inferences","title-short":"Differential analyses for RNA-seq","volume":"4","author":[{"family":"Soneson","given":"Charlotte"},{"family":"Love","given":"Michael I."},{"family":"Robinson","given":"Mark D."}],"issued":{"date-parts":[["2015",12,30]]}}}],"schema":"https://github.com/citation-style-language/schema/raw/master/csl-citation.json"} </w:instrText>
      </w:r>
      <w:r w:rsidR="00585FA5" w:rsidRPr="6CD91A3F">
        <w:rPr>
          <w:rFonts w:asciiTheme="minorHAnsi" w:hAnsiTheme="minorHAnsi" w:cstheme="minorBidi"/>
          <w:color w:val="000000" w:themeColor="text1"/>
          <w:sz w:val="22"/>
          <w:szCs w:val="22"/>
          <w:shd w:val="clear" w:color="auto" w:fill="FFFFFF"/>
        </w:rPr>
        <w:fldChar w:fldCharType="separate"/>
      </w:r>
      <w:r w:rsidR="00C91241" w:rsidRPr="6CD91A3F">
        <w:rPr>
          <w:rFonts w:asciiTheme="minorHAnsi" w:hAnsiTheme="minorHAnsi" w:cstheme="minorBidi"/>
          <w:noProof/>
          <w:color w:val="000000" w:themeColor="text1"/>
          <w:sz w:val="22"/>
          <w:szCs w:val="22"/>
          <w:shd w:val="clear" w:color="auto" w:fill="FFFFFF"/>
        </w:rPr>
        <w:t>(44)</w:t>
      </w:r>
      <w:r w:rsidR="00585FA5" w:rsidRPr="6CD91A3F">
        <w:rPr>
          <w:rFonts w:asciiTheme="minorHAnsi" w:hAnsiTheme="minorHAnsi" w:cstheme="minorBidi"/>
          <w:color w:val="000000" w:themeColor="text1"/>
          <w:sz w:val="22"/>
          <w:szCs w:val="22"/>
          <w:shd w:val="clear" w:color="auto" w:fill="FFFFFF"/>
        </w:rPr>
        <w:fldChar w:fldCharType="end"/>
      </w:r>
      <w:r w:rsidR="00585FA5" w:rsidRPr="6CD91A3F">
        <w:rPr>
          <w:rFonts w:asciiTheme="minorHAnsi" w:hAnsiTheme="minorHAnsi" w:cstheme="minorBidi"/>
          <w:color w:val="000000" w:themeColor="text1"/>
          <w:sz w:val="22"/>
          <w:szCs w:val="22"/>
          <w:shd w:val="clear" w:color="auto" w:fill="FFFFFF"/>
        </w:rPr>
        <w:t xml:space="preserve">. </w:t>
      </w:r>
      <w:r w:rsidRPr="6CD91A3F">
        <w:rPr>
          <w:rFonts w:asciiTheme="minorHAnsi" w:hAnsiTheme="minorHAnsi" w:cstheme="minorBidi"/>
          <w:color w:val="000000" w:themeColor="text1"/>
          <w:sz w:val="22"/>
          <w:szCs w:val="22"/>
          <w:shd w:val="clear" w:color="auto" w:fill="FFFFFF"/>
        </w:rPr>
        <w:t xml:space="preserve">We filtered out </w:t>
      </w:r>
      <w:r w:rsidR="000D7FCE" w:rsidRPr="6CD91A3F">
        <w:rPr>
          <w:rFonts w:asciiTheme="minorHAnsi" w:hAnsiTheme="minorHAnsi" w:cstheme="minorBidi"/>
          <w:color w:val="000000" w:themeColor="text1"/>
          <w:sz w:val="22"/>
          <w:szCs w:val="22"/>
          <w:shd w:val="clear" w:color="auto" w:fill="FFFFFF"/>
        </w:rPr>
        <w:t xml:space="preserve">transcripts </w:t>
      </w:r>
      <w:r w:rsidRPr="6CD91A3F">
        <w:rPr>
          <w:rFonts w:asciiTheme="minorHAnsi" w:hAnsiTheme="minorHAnsi" w:cstheme="minorBidi"/>
          <w:color w:val="000000" w:themeColor="text1"/>
          <w:sz w:val="22"/>
          <w:szCs w:val="22"/>
          <w:shd w:val="clear" w:color="auto" w:fill="FFFFFF"/>
        </w:rPr>
        <w:t xml:space="preserve">with no predicted ORFs before summarizing them to gene level using </w:t>
      </w:r>
      <w:proofErr w:type="spellStart"/>
      <w:r w:rsidRPr="6CD91A3F">
        <w:rPr>
          <w:rFonts w:asciiTheme="minorHAnsi" w:hAnsiTheme="minorHAnsi" w:cstheme="minorBidi"/>
          <w:color w:val="000000" w:themeColor="text1"/>
          <w:sz w:val="22"/>
          <w:szCs w:val="22"/>
          <w:shd w:val="clear" w:color="auto" w:fill="FFFFFF"/>
        </w:rPr>
        <w:t>tximport</w:t>
      </w:r>
      <w:proofErr w:type="spellEnd"/>
      <w:r w:rsidRPr="6CD91A3F">
        <w:rPr>
          <w:rFonts w:asciiTheme="minorHAnsi" w:hAnsiTheme="minorHAnsi" w:cstheme="minorBidi"/>
          <w:color w:val="000000" w:themeColor="text1"/>
          <w:sz w:val="22"/>
          <w:szCs w:val="22"/>
          <w:shd w:val="clear" w:color="auto" w:fill="FFFFFF"/>
        </w:rPr>
        <w:t xml:space="preserve"> with the transcript-gene map produced by Trinity. We used DESeq2 v.1.48.1 </w:t>
      </w:r>
      <w:r w:rsidR="00585FA5" w:rsidRPr="6CD91A3F">
        <w:rPr>
          <w:rFonts w:asciiTheme="minorHAnsi" w:hAnsiTheme="minorHAnsi" w:cstheme="minorBidi"/>
          <w:color w:val="000000" w:themeColor="text1"/>
          <w:sz w:val="22"/>
          <w:szCs w:val="22"/>
          <w:shd w:val="clear" w:color="auto" w:fill="FFFFFF"/>
        </w:rPr>
        <w:fldChar w:fldCharType="begin"/>
      </w:r>
      <w:r w:rsidR="00C91241" w:rsidRPr="6CD91A3F">
        <w:rPr>
          <w:rFonts w:asciiTheme="minorHAnsi" w:hAnsiTheme="minorHAnsi" w:cstheme="minorBidi"/>
          <w:color w:val="000000" w:themeColor="text1"/>
          <w:sz w:val="22"/>
          <w:szCs w:val="22"/>
          <w:shd w:val="clear" w:color="auto" w:fill="FFFFFF"/>
        </w:rPr>
        <w:instrText xml:space="preserve"> ADDIN ZOTERO_ITEM CSL_CITATION {"citationID":"MXEyMShj","properties":{"formattedCitation":"(45)","plainCitation":"(45)","noteIndex":0},"citationItems":[{"id":18504,"uris":["http://zotero.org/users/8183159/items/N8ZSN8F7"],"itemData":{"id":18504,"type":"article-journal","abstract":"In comparative high-throughput sequencing assays, a fundamental task is the analysis of count data, such as read counts per gene in RNA-seq, for evidence of systematic changes across experimental conditions. Small replicate numbers, discreteness, large dynamic range and the presence of outliers require a suitable statistical approach. We present DESeq2, a method for differential analysis of count data, using shrinkage estimation for dispersions and fold changes to improve stability and interpretability of estimates. This enables a more quantitative analysis focused on the strength rather than the mere presence of differential expression. The DESeq2 package is available at http://www.bioconductor.org/packages/release/bioc/html/DESeq2.html.","container-title":"Genome Biology","DOI":"10.1186/s13059-014-0550-8","ISSN":"1474-760X","issue":"12","journalAbbreviation":"Genome Biology","page":"550","source":"BioMed Central","title":"Moderated estimation of fold change and dispersion for RNA-seq data with DESeq2","volume":"15","author":[{"family":"Love","given":"Michael I."},{"family":"Huber","given":"Wolfgang"},{"family":"Anders","given":"Simon"}],"issued":{"date-parts":[["2014",12,5]]}}}],"schema":"https://github.com/citation-style-language/schema/raw/master/csl-citation.json"} </w:instrText>
      </w:r>
      <w:r w:rsidR="00585FA5" w:rsidRPr="6CD91A3F">
        <w:rPr>
          <w:rFonts w:asciiTheme="minorHAnsi" w:hAnsiTheme="minorHAnsi" w:cstheme="minorBidi"/>
          <w:color w:val="000000" w:themeColor="text1"/>
          <w:sz w:val="22"/>
          <w:szCs w:val="22"/>
          <w:shd w:val="clear" w:color="auto" w:fill="FFFFFF"/>
        </w:rPr>
        <w:fldChar w:fldCharType="separate"/>
      </w:r>
      <w:r w:rsidR="00C91241" w:rsidRPr="6CD91A3F">
        <w:rPr>
          <w:rFonts w:asciiTheme="minorHAnsi" w:hAnsiTheme="minorHAnsi" w:cstheme="minorBidi"/>
          <w:noProof/>
          <w:color w:val="000000" w:themeColor="text1"/>
          <w:sz w:val="22"/>
          <w:szCs w:val="22"/>
          <w:shd w:val="clear" w:color="auto" w:fill="FFFFFF"/>
        </w:rPr>
        <w:t>(45)</w:t>
      </w:r>
      <w:r w:rsidR="00585FA5" w:rsidRPr="6CD91A3F">
        <w:rPr>
          <w:rFonts w:asciiTheme="minorHAnsi" w:hAnsiTheme="minorHAnsi" w:cstheme="minorBidi"/>
          <w:color w:val="000000" w:themeColor="text1"/>
          <w:sz w:val="22"/>
          <w:szCs w:val="22"/>
          <w:shd w:val="clear" w:color="auto" w:fill="FFFFFF"/>
        </w:rPr>
        <w:fldChar w:fldCharType="end"/>
      </w:r>
      <w:r w:rsidR="00585FA5" w:rsidRPr="6CD91A3F">
        <w:rPr>
          <w:rFonts w:asciiTheme="minorHAnsi" w:hAnsiTheme="minorHAnsi" w:cstheme="minorBidi"/>
          <w:color w:val="000000" w:themeColor="text1"/>
          <w:sz w:val="22"/>
          <w:szCs w:val="22"/>
          <w:shd w:val="clear" w:color="auto" w:fill="FFFFFF"/>
        </w:rPr>
        <w:t xml:space="preserve"> </w:t>
      </w:r>
      <w:r w:rsidRPr="6CD91A3F">
        <w:rPr>
          <w:rFonts w:asciiTheme="minorHAnsi" w:hAnsiTheme="minorHAnsi" w:cstheme="minorBidi"/>
          <w:color w:val="000000" w:themeColor="text1"/>
          <w:sz w:val="22"/>
          <w:szCs w:val="22"/>
          <w:shd w:val="clear" w:color="auto" w:fill="FFFFFF"/>
        </w:rPr>
        <w:t xml:space="preserve">to identify differentially expressed genes (DEGs) from the toe data using the formula “~ Sex + </w:t>
      </w:r>
      <w:proofErr w:type="spellStart"/>
      <w:r w:rsidRPr="6CD91A3F">
        <w:rPr>
          <w:rFonts w:asciiTheme="minorHAnsi" w:hAnsiTheme="minorHAnsi" w:cstheme="minorBidi"/>
          <w:color w:val="000000" w:themeColor="text1"/>
          <w:sz w:val="22"/>
          <w:szCs w:val="22"/>
          <w:shd w:val="clear" w:color="auto" w:fill="FFFFFF"/>
        </w:rPr>
        <w:t>Trt_TP</w:t>
      </w:r>
      <w:proofErr w:type="spellEnd"/>
      <w:r w:rsidRPr="6CD91A3F">
        <w:rPr>
          <w:rFonts w:asciiTheme="minorHAnsi" w:hAnsiTheme="minorHAnsi" w:cstheme="minorBidi"/>
          <w:color w:val="000000" w:themeColor="text1"/>
          <w:sz w:val="22"/>
          <w:szCs w:val="22"/>
          <w:shd w:val="clear" w:color="auto" w:fill="FFFFFF"/>
        </w:rPr>
        <w:t xml:space="preserve">” (where “Sex” was the animal’s sex and </w:t>
      </w:r>
      <w:proofErr w:type="spellStart"/>
      <w:r w:rsidRPr="6CD91A3F">
        <w:rPr>
          <w:rFonts w:asciiTheme="minorHAnsi" w:hAnsiTheme="minorHAnsi" w:cstheme="minorBidi"/>
          <w:color w:val="000000" w:themeColor="text1"/>
          <w:sz w:val="22"/>
          <w:szCs w:val="22"/>
          <w:shd w:val="clear" w:color="auto" w:fill="FFFFFF"/>
        </w:rPr>
        <w:t>Trt_TP</w:t>
      </w:r>
      <w:proofErr w:type="spellEnd"/>
      <w:r w:rsidRPr="6CD91A3F">
        <w:rPr>
          <w:rFonts w:asciiTheme="minorHAnsi" w:hAnsiTheme="minorHAnsi" w:cstheme="minorBidi"/>
          <w:color w:val="000000" w:themeColor="text1"/>
          <w:sz w:val="22"/>
          <w:szCs w:val="22"/>
          <w:shd w:val="clear" w:color="auto" w:fill="FFFFFF"/>
        </w:rPr>
        <w:t xml:space="preserve"> was the combined treatment group and timepoint).</w:t>
      </w:r>
      <w:r w:rsidR="00EE44E0" w:rsidRPr="6CD91A3F">
        <w:rPr>
          <w:rFonts w:asciiTheme="minorHAnsi" w:hAnsiTheme="minorHAnsi" w:cstheme="minorBidi"/>
          <w:color w:val="000000" w:themeColor="text1"/>
          <w:sz w:val="22"/>
          <w:szCs w:val="22"/>
          <w:shd w:val="clear" w:color="auto" w:fill="FFFFFF"/>
        </w:rPr>
        <w:t xml:space="preserve"> We included </w:t>
      </w:r>
      <w:r w:rsidR="0099350E" w:rsidRPr="6CD91A3F">
        <w:rPr>
          <w:rFonts w:asciiTheme="minorHAnsi" w:hAnsiTheme="minorHAnsi" w:cstheme="minorBidi"/>
          <w:color w:val="000000" w:themeColor="text1"/>
          <w:sz w:val="22"/>
          <w:szCs w:val="22"/>
          <w:shd w:val="clear" w:color="auto" w:fill="FFFFFF"/>
        </w:rPr>
        <w:t>sex</w:t>
      </w:r>
      <w:r w:rsidR="00EE44E0" w:rsidRPr="6CD91A3F">
        <w:rPr>
          <w:rFonts w:asciiTheme="minorHAnsi" w:hAnsiTheme="minorHAnsi" w:cstheme="minorBidi"/>
          <w:color w:val="000000" w:themeColor="text1"/>
          <w:sz w:val="22"/>
          <w:szCs w:val="22"/>
          <w:shd w:val="clear" w:color="auto" w:fill="FFFFFF"/>
        </w:rPr>
        <w:t xml:space="preserve"> in </w:t>
      </w:r>
      <w:r w:rsidR="0099350E" w:rsidRPr="6CD91A3F">
        <w:rPr>
          <w:rFonts w:asciiTheme="minorHAnsi" w:hAnsiTheme="minorHAnsi" w:cstheme="minorBidi"/>
          <w:color w:val="000000" w:themeColor="text1"/>
          <w:sz w:val="22"/>
          <w:szCs w:val="22"/>
          <w:shd w:val="clear" w:color="auto" w:fill="FFFFFF"/>
        </w:rPr>
        <w:t>the model</w:t>
      </w:r>
      <w:r w:rsidR="00EE44E0" w:rsidRPr="6CD91A3F">
        <w:rPr>
          <w:rFonts w:asciiTheme="minorHAnsi" w:hAnsiTheme="minorHAnsi" w:cstheme="minorBidi"/>
          <w:color w:val="000000" w:themeColor="text1"/>
          <w:sz w:val="22"/>
          <w:szCs w:val="22"/>
          <w:shd w:val="clear" w:color="auto" w:fill="FFFFFF"/>
        </w:rPr>
        <w:t xml:space="preserve"> to account for </w:t>
      </w:r>
      <w:r w:rsidR="0099350E" w:rsidRPr="6CD91A3F">
        <w:rPr>
          <w:rFonts w:asciiTheme="minorHAnsi" w:hAnsiTheme="minorHAnsi" w:cstheme="minorBidi"/>
          <w:color w:val="000000" w:themeColor="text1"/>
          <w:sz w:val="22"/>
          <w:szCs w:val="22"/>
          <w:shd w:val="clear" w:color="auto" w:fill="FFFFFF"/>
        </w:rPr>
        <w:t>any sex-specific</w:t>
      </w:r>
      <w:r w:rsidR="00510FC8" w:rsidRPr="6CD91A3F">
        <w:rPr>
          <w:rFonts w:asciiTheme="minorHAnsi" w:hAnsiTheme="minorHAnsi" w:cstheme="minorBidi"/>
          <w:color w:val="000000" w:themeColor="text1"/>
          <w:sz w:val="22"/>
          <w:szCs w:val="22"/>
          <w:shd w:val="clear" w:color="auto" w:fill="FFFFFF"/>
        </w:rPr>
        <w:t xml:space="preserve"> expression patterns.</w:t>
      </w:r>
      <w:r w:rsidRPr="6CD91A3F">
        <w:rPr>
          <w:rFonts w:asciiTheme="minorHAnsi" w:hAnsiTheme="minorHAnsi" w:cstheme="minorBidi"/>
          <w:color w:val="000000" w:themeColor="text1"/>
          <w:sz w:val="22"/>
          <w:szCs w:val="22"/>
          <w:shd w:val="clear" w:color="auto" w:fill="FFFFFF"/>
        </w:rPr>
        <w:t xml:space="preserve"> We filtered genes to retain only those with 10 or more reads in 10 or more samples. We used variance stabilizing transformation with the “</w:t>
      </w:r>
      <w:proofErr w:type="spellStart"/>
      <w:r w:rsidRPr="6CD91A3F">
        <w:rPr>
          <w:rFonts w:asciiTheme="minorHAnsi" w:hAnsiTheme="minorHAnsi" w:cstheme="minorBidi"/>
          <w:color w:val="000000" w:themeColor="text1"/>
          <w:sz w:val="22"/>
          <w:szCs w:val="22"/>
          <w:shd w:val="clear" w:color="auto" w:fill="FFFFFF"/>
        </w:rPr>
        <w:t>vst</w:t>
      </w:r>
      <w:proofErr w:type="spellEnd"/>
      <w:r w:rsidRPr="6CD91A3F">
        <w:rPr>
          <w:rFonts w:asciiTheme="minorHAnsi" w:hAnsiTheme="minorHAnsi" w:cstheme="minorBidi"/>
          <w:color w:val="000000" w:themeColor="text1"/>
          <w:sz w:val="22"/>
          <w:szCs w:val="22"/>
          <w:shd w:val="clear" w:color="auto" w:fill="FFFFFF"/>
        </w:rPr>
        <w:t>” function from DESeq2 followed by principal component analyses using the “</w:t>
      </w:r>
      <w:proofErr w:type="spellStart"/>
      <w:r w:rsidRPr="6CD91A3F">
        <w:rPr>
          <w:rFonts w:asciiTheme="minorHAnsi" w:hAnsiTheme="minorHAnsi" w:cstheme="minorBidi"/>
          <w:color w:val="000000" w:themeColor="text1"/>
          <w:sz w:val="22"/>
          <w:szCs w:val="22"/>
          <w:shd w:val="clear" w:color="auto" w:fill="FFFFFF"/>
        </w:rPr>
        <w:t>plotPCA</w:t>
      </w:r>
      <w:proofErr w:type="spellEnd"/>
      <w:r w:rsidRPr="6CD91A3F">
        <w:rPr>
          <w:rFonts w:asciiTheme="minorHAnsi" w:hAnsiTheme="minorHAnsi" w:cstheme="minorBidi"/>
          <w:color w:val="000000" w:themeColor="text1"/>
          <w:sz w:val="22"/>
          <w:szCs w:val="22"/>
          <w:shd w:val="clear" w:color="auto" w:fill="FFFFFF"/>
        </w:rPr>
        <w:t xml:space="preserve">” function from DESeq2 to visualize overall expression similarity among samples. To </w:t>
      </w:r>
      <w:r w:rsidR="0099350E" w:rsidRPr="6CD91A3F">
        <w:rPr>
          <w:rFonts w:asciiTheme="minorHAnsi" w:hAnsiTheme="minorHAnsi" w:cstheme="minorBidi"/>
          <w:color w:val="000000" w:themeColor="text1"/>
          <w:sz w:val="22"/>
          <w:szCs w:val="22"/>
          <w:shd w:val="clear" w:color="auto" w:fill="FFFFFF"/>
        </w:rPr>
        <w:t xml:space="preserve">determine whether being previously exposed to Bd affects animals’ transcriptional response when infected with Bd </w:t>
      </w:r>
      <w:proofErr w:type="gramStart"/>
      <w:r w:rsidR="0099350E" w:rsidRPr="6CD91A3F">
        <w:rPr>
          <w:rFonts w:asciiTheme="minorHAnsi" w:hAnsiTheme="minorHAnsi" w:cstheme="minorBidi"/>
          <w:color w:val="000000" w:themeColor="text1"/>
          <w:sz w:val="22"/>
          <w:szCs w:val="22"/>
          <w:shd w:val="clear" w:color="auto" w:fill="FFFFFF"/>
        </w:rPr>
        <w:t>again,  we</w:t>
      </w:r>
      <w:proofErr w:type="gramEnd"/>
      <w:r w:rsidR="0099350E" w:rsidRPr="6CD91A3F">
        <w:rPr>
          <w:rFonts w:asciiTheme="minorHAnsi" w:hAnsiTheme="minorHAnsi" w:cstheme="minorBidi"/>
          <w:color w:val="000000" w:themeColor="text1"/>
          <w:sz w:val="22"/>
          <w:szCs w:val="22"/>
          <w:shd w:val="clear" w:color="auto" w:fill="FFFFFF"/>
        </w:rPr>
        <w:t xml:space="preserve"> identified DEGs </w:t>
      </w:r>
      <w:r w:rsidR="004E23D0">
        <w:rPr>
          <w:rFonts w:asciiTheme="minorHAnsi" w:hAnsiTheme="minorHAnsi" w:cstheme="minorBidi"/>
          <w:color w:val="000000" w:themeColor="text1"/>
          <w:sz w:val="22"/>
          <w:szCs w:val="22"/>
          <w:shd w:val="clear" w:color="auto" w:fill="FFFFFF"/>
        </w:rPr>
        <w:t xml:space="preserve">(Supplemental Table S1) </w:t>
      </w:r>
      <w:r w:rsidR="0099350E" w:rsidRPr="6CD91A3F">
        <w:rPr>
          <w:rFonts w:asciiTheme="minorHAnsi" w:hAnsiTheme="minorHAnsi" w:cstheme="minorBidi"/>
          <w:color w:val="000000" w:themeColor="text1"/>
          <w:sz w:val="22"/>
          <w:szCs w:val="22"/>
          <w:shd w:val="clear" w:color="auto" w:fill="FFFFFF"/>
        </w:rPr>
        <w:t>between the main four treatment groups (i.e. mock-mock, mock-Bd, Bd-mock, Bd-Bd)</w:t>
      </w:r>
      <w:r w:rsidRPr="6CD91A3F">
        <w:rPr>
          <w:rFonts w:asciiTheme="minorHAnsi" w:hAnsiTheme="minorHAnsi" w:cstheme="minorBidi"/>
          <w:color w:val="000000" w:themeColor="text1"/>
          <w:sz w:val="22"/>
          <w:szCs w:val="22"/>
          <w:shd w:val="clear" w:color="auto" w:fill="FFFFFF"/>
        </w:rPr>
        <w:t xml:space="preserve"> for each time point </w:t>
      </w:r>
      <w:r w:rsidR="0099350E" w:rsidRPr="6CD91A3F">
        <w:rPr>
          <w:rFonts w:asciiTheme="minorHAnsi" w:hAnsiTheme="minorHAnsi" w:cstheme="minorBidi"/>
          <w:color w:val="000000" w:themeColor="text1"/>
          <w:sz w:val="22"/>
          <w:szCs w:val="22"/>
          <w:shd w:val="clear" w:color="auto" w:fill="FFFFFF"/>
        </w:rPr>
        <w:t xml:space="preserve">separately, resulting in the following four contrasts: </w:t>
      </w:r>
      <w:r w:rsidRPr="6CD91A3F">
        <w:rPr>
          <w:rFonts w:asciiTheme="minorHAnsi" w:hAnsiTheme="minorHAnsi" w:cstheme="minorBidi"/>
          <w:color w:val="000000" w:themeColor="text1"/>
          <w:sz w:val="22"/>
          <w:szCs w:val="22"/>
          <w:shd w:val="clear" w:color="auto" w:fill="FFFFFF"/>
        </w:rPr>
        <w:t xml:space="preserve"> </w:t>
      </w:r>
      <w:r w:rsidR="0099350E" w:rsidRPr="6CD91A3F">
        <w:rPr>
          <w:rFonts w:asciiTheme="minorHAnsi" w:hAnsiTheme="minorHAnsi" w:cstheme="minorBidi"/>
          <w:color w:val="000000" w:themeColor="text1"/>
          <w:sz w:val="22"/>
          <w:szCs w:val="22"/>
          <w:shd w:val="clear" w:color="auto" w:fill="FFFFFF"/>
        </w:rPr>
        <w:t>A) mock-mock vs. mock-Bd; B) Bd-mock vs. Bd-Bd; C) mock-Bd vs. Bd-Bd and D) mock-mock vs.</w:t>
      </w:r>
      <w:r w:rsidR="0099350E" w:rsidRPr="6CD91A3F" w:rsidDel="00CA2E61">
        <w:rPr>
          <w:rFonts w:asciiTheme="minorHAnsi" w:hAnsiTheme="minorHAnsi" w:cstheme="minorBidi"/>
          <w:color w:val="000000" w:themeColor="text1"/>
          <w:sz w:val="22"/>
          <w:szCs w:val="22"/>
          <w:shd w:val="clear" w:color="auto" w:fill="FFFFFF"/>
        </w:rPr>
        <w:t xml:space="preserve"> </w:t>
      </w:r>
      <w:r w:rsidR="0099350E" w:rsidRPr="6CD91A3F">
        <w:rPr>
          <w:rFonts w:asciiTheme="minorHAnsi" w:hAnsiTheme="minorHAnsi" w:cstheme="minorBidi"/>
          <w:color w:val="000000" w:themeColor="text1"/>
          <w:sz w:val="22"/>
          <w:szCs w:val="22"/>
          <w:shd w:val="clear" w:color="auto" w:fill="FFFFFF"/>
        </w:rPr>
        <w:t>Bd-mock</w:t>
      </w:r>
      <w:r w:rsidRPr="6CD91A3F">
        <w:rPr>
          <w:rFonts w:asciiTheme="minorHAnsi" w:hAnsiTheme="minorHAnsi" w:cstheme="minorBidi"/>
          <w:color w:val="000000" w:themeColor="text1"/>
          <w:sz w:val="22"/>
          <w:szCs w:val="22"/>
          <w:shd w:val="clear" w:color="auto" w:fill="FFFFFF"/>
        </w:rPr>
        <w:t xml:space="preserve">. To determine the effect of itraconazole treatment on gene expression we also compared E) </w:t>
      </w:r>
      <w:r w:rsidR="0099350E" w:rsidRPr="6CD91A3F">
        <w:rPr>
          <w:rFonts w:asciiTheme="minorHAnsi" w:hAnsiTheme="minorHAnsi" w:cstheme="minorBidi"/>
          <w:color w:val="000000" w:themeColor="text1"/>
          <w:sz w:val="22"/>
          <w:szCs w:val="22"/>
          <w:shd w:val="clear" w:color="auto" w:fill="FFFFFF"/>
        </w:rPr>
        <w:t xml:space="preserve">mock-mock </w:t>
      </w:r>
      <w:r w:rsidRPr="6CD91A3F">
        <w:rPr>
          <w:rFonts w:asciiTheme="minorHAnsi" w:hAnsiTheme="minorHAnsi" w:cstheme="minorBidi"/>
          <w:color w:val="000000" w:themeColor="text1"/>
          <w:sz w:val="22"/>
          <w:szCs w:val="22"/>
          <w:shd w:val="clear" w:color="auto" w:fill="FFFFFF"/>
        </w:rPr>
        <w:t>vs. untreated animals</w:t>
      </w:r>
      <w:r w:rsidR="00455DE0" w:rsidRPr="6CD91A3F">
        <w:rPr>
          <w:rFonts w:asciiTheme="minorHAnsi" w:hAnsiTheme="minorHAnsi" w:cstheme="minorBidi"/>
          <w:color w:val="000000" w:themeColor="text1"/>
          <w:sz w:val="22"/>
          <w:szCs w:val="22"/>
          <w:shd w:val="clear" w:color="auto" w:fill="FFFFFF"/>
        </w:rPr>
        <w:t xml:space="preserve">. </w:t>
      </w:r>
      <w:r w:rsidRPr="6CD91A3F">
        <w:rPr>
          <w:rFonts w:asciiTheme="minorHAnsi" w:hAnsiTheme="minorHAnsi" w:cstheme="minorBidi"/>
          <w:color w:val="000000" w:themeColor="text1"/>
          <w:sz w:val="22"/>
          <w:szCs w:val="22"/>
          <w:shd w:val="clear" w:color="auto" w:fill="FFFFFF"/>
        </w:rPr>
        <w:t>To identify DEGs consistently related to Bd infection in naïve and pr</w:t>
      </w:r>
      <w:r w:rsidR="00E148F3" w:rsidRPr="6CD91A3F">
        <w:rPr>
          <w:rFonts w:asciiTheme="minorHAnsi" w:hAnsiTheme="minorHAnsi" w:cstheme="minorBidi"/>
          <w:color w:val="000000" w:themeColor="text1"/>
          <w:sz w:val="22"/>
          <w:szCs w:val="22"/>
          <w:shd w:val="clear" w:color="auto" w:fill="FFFFFF"/>
        </w:rPr>
        <w:t>ior</w:t>
      </w:r>
      <w:r w:rsidRPr="6CD91A3F">
        <w:rPr>
          <w:rFonts w:asciiTheme="minorHAnsi" w:hAnsiTheme="minorHAnsi" w:cstheme="minorBidi"/>
          <w:color w:val="000000" w:themeColor="text1"/>
          <w:sz w:val="22"/>
          <w:szCs w:val="22"/>
          <w:shd w:val="clear" w:color="auto" w:fill="FFFFFF"/>
        </w:rPr>
        <w:t xml:space="preserve">-exposed animals, we focused on those that </w:t>
      </w:r>
      <w:r w:rsidRPr="6CD91A3F">
        <w:rPr>
          <w:rFonts w:asciiTheme="minorHAnsi" w:hAnsiTheme="minorHAnsi" w:cstheme="minorBidi"/>
          <w:color w:val="000000" w:themeColor="text1"/>
          <w:sz w:val="22"/>
          <w:szCs w:val="22"/>
          <w:shd w:val="clear" w:color="auto" w:fill="FFFFFF"/>
        </w:rPr>
        <w:lastRenderedPageBreak/>
        <w:t xml:space="preserve">showed the same expression pattern in early and late infection (i.e. at both timepoints). By cross-referencing these sets, we identified three classes of DEGs for further interrogation: </w:t>
      </w:r>
      <w:r w:rsidR="00977010" w:rsidRPr="6CD91A3F">
        <w:rPr>
          <w:rFonts w:asciiTheme="minorHAnsi" w:hAnsiTheme="minorHAnsi" w:cstheme="minorBidi"/>
          <w:i/>
          <w:iCs/>
          <w:color w:val="000000" w:themeColor="text1"/>
          <w:sz w:val="22"/>
          <w:szCs w:val="22"/>
          <w:shd w:val="clear" w:color="auto" w:fill="FFFFFF"/>
        </w:rPr>
        <w:t>pr</w:t>
      </w:r>
      <w:r w:rsidR="00387746" w:rsidRPr="6CD91A3F">
        <w:rPr>
          <w:rFonts w:asciiTheme="minorHAnsi" w:hAnsiTheme="minorHAnsi" w:cstheme="minorBidi"/>
          <w:i/>
          <w:iCs/>
          <w:color w:val="000000" w:themeColor="text1"/>
          <w:sz w:val="22"/>
          <w:szCs w:val="22"/>
          <w:shd w:val="clear" w:color="auto" w:fill="FFFFFF"/>
        </w:rPr>
        <w:t>ior infection</w:t>
      </w:r>
      <w:r w:rsidRPr="6CD91A3F">
        <w:rPr>
          <w:rFonts w:asciiTheme="minorHAnsi" w:hAnsiTheme="minorHAnsi" w:cstheme="minorBidi"/>
          <w:i/>
          <w:iCs/>
          <w:color w:val="000000" w:themeColor="text1"/>
          <w:sz w:val="22"/>
          <w:szCs w:val="22"/>
          <w:shd w:val="clear" w:color="auto" w:fill="FFFFFF"/>
        </w:rPr>
        <w:t xml:space="preserve"> specific genes</w:t>
      </w:r>
      <w:r w:rsidRPr="6CD91A3F">
        <w:rPr>
          <w:rFonts w:asciiTheme="minorHAnsi" w:hAnsiTheme="minorHAnsi" w:cstheme="minorBidi"/>
          <w:color w:val="000000" w:themeColor="text1"/>
          <w:sz w:val="22"/>
          <w:szCs w:val="22"/>
          <w:shd w:val="clear" w:color="auto" w:fill="FFFFFF"/>
        </w:rPr>
        <w:t xml:space="preserve">, which were differentially expressed </w:t>
      </w:r>
      <w:r w:rsidR="008516D8" w:rsidRPr="6CD91A3F">
        <w:rPr>
          <w:rFonts w:asciiTheme="minorHAnsi" w:hAnsiTheme="minorHAnsi" w:cstheme="minorBidi"/>
          <w:color w:val="000000" w:themeColor="text1"/>
          <w:sz w:val="22"/>
          <w:szCs w:val="22"/>
          <w:shd w:val="clear" w:color="auto" w:fill="FFFFFF"/>
        </w:rPr>
        <w:t>between Bd-mock and Bd-Bd</w:t>
      </w:r>
      <w:r w:rsidRPr="6CD91A3F">
        <w:rPr>
          <w:rFonts w:asciiTheme="minorHAnsi" w:hAnsiTheme="minorHAnsi" w:cstheme="minorBidi"/>
          <w:color w:val="000000" w:themeColor="text1"/>
          <w:sz w:val="22"/>
          <w:szCs w:val="22"/>
          <w:shd w:val="clear" w:color="auto" w:fill="FFFFFF"/>
        </w:rPr>
        <w:t xml:space="preserve"> </w:t>
      </w:r>
      <w:r w:rsidR="008516D8" w:rsidRPr="6CD91A3F">
        <w:rPr>
          <w:rFonts w:asciiTheme="minorHAnsi" w:hAnsiTheme="minorHAnsi" w:cstheme="minorBidi"/>
          <w:color w:val="000000" w:themeColor="text1"/>
          <w:sz w:val="22"/>
          <w:szCs w:val="22"/>
          <w:shd w:val="clear" w:color="auto" w:fill="FFFFFF"/>
        </w:rPr>
        <w:t xml:space="preserve">at </w:t>
      </w:r>
      <w:r w:rsidRPr="6CD91A3F">
        <w:rPr>
          <w:rFonts w:asciiTheme="minorHAnsi" w:hAnsiTheme="minorHAnsi" w:cstheme="minorBidi"/>
          <w:color w:val="000000" w:themeColor="text1"/>
          <w:sz w:val="22"/>
          <w:szCs w:val="22"/>
          <w:shd w:val="clear" w:color="auto" w:fill="FFFFFF"/>
        </w:rPr>
        <w:t xml:space="preserve">both timepoints, but not </w:t>
      </w:r>
      <w:r w:rsidR="008516D8" w:rsidRPr="6CD91A3F">
        <w:rPr>
          <w:rFonts w:asciiTheme="minorHAnsi" w:hAnsiTheme="minorHAnsi" w:cstheme="minorBidi"/>
          <w:color w:val="000000" w:themeColor="text1"/>
          <w:sz w:val="22"/>
          <w:szCs w:val="22"/>
          <w:shd w:val="clear" w:color="auto" w:fill="FFFFFF"/>
        </w:rPr>
        <w:t>between mock-mock and mock-Bd</w:t>
      </w:r>
      <w:r w:rsidRPr="6CD91A3F">
        <w:rPr>
          <w:rFonts w:asciiTheme="minorHAnsi" w:hAnsiTheme="minorHAnsi" w:cstheme="minorBidi"/>
          <w:color w:val="000000" w:themeColor="text1"/>
          <w:sz w:val="22"/>
          <w:szCs w:val="22"/>
          <w:shd w:val="clear" w:color="auto" w:fill="FFFFFF"/>
        </w:rPr>
        <w:t xml:space="preserve">; </w:t>
      </w:r>
      <w:r w:rsidR="00387746" w:rsidRPr="6CD91A3F">
        <w:rPr>
          <w:rFonts w:asciiTheme="minorHAnsi" w:hAnsiTheme="minorHAnsi" w:cstheme="minorBidi"/>
          <w:i/>
          <w:iCs/>
          <w:color w:val="000000" w:themeColor="text1"/>
          <w:sz w:val="22"/>
          <w:szCs w:val="22"/>
          <w:shd w:val="clear" w:color="auto" w:fill="FFFFFF"/>
        </w:rPr>
        <w:t xml:space="preserve">current </w:t>
      </w:r>
      <w:r w:rsidRPr="6CD91A3F">
        <w:rPr>
          <w:rFonts w:asciiTheme="minorHAnsi" w:hAnsiTheme="minorHAnsi" w:cstheme="minorBidi"/>
          <w:i/>
          <w:iCs/>
          <w:color w:val="000000" w:themeColor="text1"/>
          <w:sz w:val="22"/>
          <w:szCs w:val="22"/>
          <w:shd w:val="clear" w:color="auto" w:fill="FFFFFF"/>
        </w:rPr>
        <w:t>infection specific genes</w:t>
      </w:r>
      <w:r w:rsidRPr="6CD91A3F">
        <w:rPr>
          <w:rFonts w:asciiTheme="minorHAnsi" w:hAnsiTheme="minorHAnsi" w:cstheme="minorBidi"/>
          <w:color w:val="000000" w:themeColor="text1"/>
          <w:sz w:val="22"/>
          <w:szCs w:val="22"/>
          <w:shd w:val="clear" w:color="auto" w:fill="FFFFFF"/>
        </w:rPr>
        <w:t>, which were differentially expressed</w:t>
      </w:r>
      <w:r w:rsidR="008516D8" w:rsidRPr="6CD91A3F">
        <w:rPr>
          <w:rFonts w:asciiTheme="minorHAnsi" w:hAnsiTheme="minorHAnsi" w:cstheme="minorBidi"/>
          <w:color w:val="000000" w:themeColor="text1"/>
          <w:sz w:val="22"/>
          <w:szCs w:val="22"/>
          <w:shd w:val="clear" w:color="auto" w:fill="FFFFFF"/>
        </w:rPr>
        <w:t xml:space="preserve"> both</w:t>
      </w:r>
      <w:r w:rsidRPr="6CD91A3F">
        <w:rPr>
          <w:rFonts w:asciiTheme="minorHAnsi" w:hAnsiTheme="minorHAnsi" w:cstheme="minorBidi"/>
          <w:color w:val="000000" w:themeColor="text1"/>
          <w:sz w:val="22"/>
          <w:szCs w:val="22"/>
          <w:shd w:val="clear" w:color="auto" w:fill="FFFFFF"/>
        </w:rPr>
        <w:t xml:space="preserve"> </w:t>
      </w:r>
      <w:r w:rsidR="008516D8" w:rsidRPr="6CD91A3F">
        <w:rPr>
          <w:rFonts w:asciiTheme="minorHAnsi" w:hAnsiTheme="minorHAnsi" w:cstheme="minorBidi"/>
          <w:color w:val="000000" w:themeColor="text1"/>
          <w:sz w:val="22"/>
          <w:szCs w:val="22"/>
          <w:shd w:val="clear" w:color="auto" w:fill="FFFFFF"/>
        </w:rPr>
        <w:t>between Bd-mock and Bd-Bd, and  between mock-mock and mock-Bd</w:t>
      </w:r>
      <w:r w:rsidRPr="6CD91A3F">
        <w:rPr>
          <w:rFonts w:asciiTheme="minorHAnsi" w:hAnsiTheme="minorHAnsi" w:cstheme="minorBidi"/>
          <w:color w:val="000000" w:themeColor="text1"/>
          <w:sz w:val="22"/>
          <w:szCs w:val="22"/>
          <w:shd w:val="clear" w:color="auto" w:fill="FFFFFF"/>
        </w:rPr>
        <w:t xml:space="preserve"> at both timepoints; and</w:t>
      </w:r>
      <w:r w:rsidR="00585FA5" w:rsidRPr="6CD91A3F">
        <w:rPr>
          <w:rFonts w:asciiTheme="minorHAnsi" w:hAnsiTheme="minorHAnsi" w:cstheme="minorBidi"/>
          <w:color w:val="000000" w:themeColor="text1"/>
          <w:sz w:val="22"/>
          <w:szCs w:val="22"/>
          <w:shd w:val="clear" w:color="auto" w:fill="FFFFFF"/>
        </w:rPr>
        <w:t xml:space="preserve"> </w:t>
      </w:r>
      <w:r w:rsidR="46D096E7" w:rsidRPr="6CD91A3F">
        <w:rPr>
          <w:rFonts w:asciiTheme="minorHAnsi" w:hAnsiTheme="minorHAnsi" w:cstheme="minorBidi"/>
          <w:i/>
          <w:iCs/>
          <w:color w:val="000000" w:themeColor="text1"/>
          <w:sz w:val="22"/>
          <w:szCs w:val="22"/>
        </w:rPr>
        <w:t>naïve specific genes</w:t>
      </w:r>
      <w:r w:rsidR="46D096E7" w:rsidRPr="6CD91A3F">
        <w:rPr>
          <w:rFonts w:asciiTheme="minorHAnsi" w:hAnsiTheme="minorHAnsi" w:cstheme="minorBidi"/>
          <w:color w:val="000000" w:themeColor="text1"/>
          <w:sz w:val="22"/>
          <w:szCs w:val="22"/>
        </w:rPr>
        <w:t>, which were differentially expressed between mock-mock and mock-Bd at both timepoints, but not between Bd-mock and Bd-Bd</w:t>
      </w:r>
      <w:r w:rsidR="00BC1EAA" w:rsidRPr="6CD91A3F">
        <w:rPr>
          <w:rFonts w:asciiTheme="minorHAnsi" w:hAnsiTheme="minorHAnsi" w:cstheme="minorBidi"/>
          <w:color w:val="000000" w:themeColor="text1"/>
          <w:sz w:val="22"/>
          <w:szCs w:val="22"/>
          <w:shd w:val="clear" w:color="auto" w:fill="FFFFFF"/>
        </w:rPr>
        <w:t xml:space="preserve">).  </w:t>
      </w:r>
      <w:r w:rsidR="008516D8" w:rsidRPr="6CD91A3F">
        <w:rPr>
          <w:rFonts w:asciiTheme="minorHAnsi" w:hAnsiTheme="minorHAnsi" w:cstheme="minorBidi"/>
          <w:color w:val="000000" w:themeColor="text1"/>
          <w:sz w:val="22"/>
          <w:szCs w:val="22"/>
          <w:shd w:val="clear" w:color="auto" w:fill="FFFFFF"/>
        </w:rPr>
        <w:t xml:space="preserve">To </w:t>
      </w:r>
      <w:r w:rsidR="0058604F" w:rsidRPr="6CD91A3F">
        <w:rPr>
          <w:rFonts w:asciiTheme="minorHAnsi" w:hAnsiTheme="minorHAnsi" w:cstheme="minorBidi"/>
          <w:color w:val="000000" w:themeColor="text1"/>
          <w:sz w:val="22"/>
          <w:szCs w:val="22"/>
          <w:shd w:val="clear" w:color="auto" w:fill="FFFFFF"/>
        </w:rPr>
        <w:t>further examine the expression dynamics of</w:t>
      </w:r>
      <w:r w:rsidR="00387746" w:rsidRPr="6CD91A3F">
        <w:rPr>
          <w:rFonts w:asciiTheme="minorHAnsi" w:hAnsiTheme="minorHAnsi" w:cstheme="minorBidi"/>
          <w:i/>
          <w:iCs/>
          <w:color w:val="000000" w:themeColor="text1"/>
          <w:sz w:val="22"/>
          <w:szCs w:val="22"/>
          <w:shd w:val="clear" w:color="auto" w:fill="FFFFFF"/>
        </w:rPr>
        <w:t xml:space="preserve"> infection</w:t>
      </w:r>
      <w:r w:rsidR="0058604F" w:rsidRPr="6CD91A3F">
        <w:rPr>
          <w:rFonts w:asciiTheme="minorHAnsi" w:hAnsiTheme="minorHAnsi" w:cstheme="minorBidi"/>
          <w:i/>
          <w:iCs/>
          <w:color w:val="000000" w:themeColor="text1"/>
          <w:sz w:val="22"/>
          <w:szCs w:val="22"/>
          <w:shd w:val="clear" w:color="auto" w:fill="FFFFFF"/>
        </w:rPr>
        <w:t xml:space="preserve"> specific genes, </w:t>
      </w:r>
      <w:r w:rsidR="0058604F" w:rsidRPr="6CD91A3F">
        <w:rPr>
          <w:rFonts w:asciiTheme="minorHAnsi" w:hAnsiTheme="minorHAnsi" w:cstheme="minorBidi"/>
          <w:color w:val="000000" w:themeColor="text1"/>
          <w:sz w:val="22"/>
          <w:szCs w:val="22"/>
          <w:shd w:val="clear" w:color="auto" w:fill="FFFFFF"/>
        </w:rPr>
        <w:t xml:space="preserve">we calculated the mean scaled expression of each gene across four treatment groups: mock-mock, mock-Bd, Bd-mock, and Bd-Bd. We </w:t>
      </w:r>
      <w:r w:rsidR="00B327A3" w:rsidRPr="6CD91A3F">
        <w:rPr>
          <w:rFonts w:asciiTheme="minorHAnsi" w:hAnsiTheme="minorHAnsi" w:cstheme="minorBidi"/>
          <w:color w:val="000000" w:themeColor="text1"/>
          <w:sz w:val="22"/>
          <w:szCs w:val="22"/>
          <w:shd w:val="clear" w:color="auto" w:fill="FFFFFF"/>
        </w:rPr>
        <w:t xml:space="preserve">separated samples by time point and genes by whether they were over or under-expressed according to Bd, and </w:t>
      </w:r>
      <w:r w:rsidR="0058604F" w:rsidRPr="6CD91A3F">
        <w:rPr>
          <w:rFonts w:asciiTheme="minorHAnsi" w:hAnsiTheme="minorHAnsi" w:cstheme="minorBidi"/>
          <w:color w:val="000000" w:themeColor="text1"/>
          <w:sz w:val="22"/>
          <w:szCs w:val="22"/>
          <w:shd w:val="clear" w:color="auto" w:fill="FFFFFF"/>
        </w:rPr>
        <w:t xml:space="preserve">performed paired </w:t>
      </w:r>
      <w:r w:rsidR="000D7FCE" w:rsidRPr="6CD91A3F">
        <w:rPr>
          <w:rFonts w:asciiTheme="minorHAnsi" w:hAnsiTheme="minorHAnsi" w:cstheme="minorBidi"/>
          <w:color w:val="000000" w:themeColor="text1"/>
          <w:sz w:val="22"/>
          <w:szCs w:val="22"/>
          <w:shd w:val="clear" w:color="auto" w:fill="FFFFFF"/>
        </w:rPr>
        <w:t>Wilcoxon signed rank tests</w:t>
      </w:r>
      <w:r w:rsidR="0058604F" w:rsidRPr="6CD91A3F">
        <w:rPr>
          <w:rFonts w:asciiTheme="minorHAnsi" w:hAnsiTheme="minorHAnsi" w:cstheme="minorBidi"/>
          <w:color w:val="000000" w:themeColor="text1"/>
          <w:sz w:val="22"/>
          <w:szCs w:val="22"/>
          <w:shd w:val="clear" w:color="auto" w:fill="FFFFFF"/>
        </w:rPr>
        <w:t xml:space="preserve"> across </w:t>
      </w:r>
      <w:r w:rsidR="006322C8" w:rsidRPr="6CD91A3F">
        <w:rPr>
          <w:rFonts w:asciiTheme="minorHAnsi" w:hAnsiTheme="minorHAnsi" w:cstheme="minorBidi"/>
          <w:color w:val="000000" w:themeColor="text1"/>
          <w:sz w:val="22"/>
          <w:szCs w:val="22"/>
          <w:shd w:val="clear" w:color="auto" w:fill="FFFFFF"/>
        </w:rPr>
        <w:t>these</w:t>
      </w:r>
      <w:r w:rsidR="0058604F" w:rsidRPr="6CD91A3F">
        <w:rPr>
          <w:rFonts w:asciiTheme="minorHAnsi" w:hAnsiTheme="minorHAnsi" w:cstheme="minorBidi"/>
          <w:color w:val="000000" w:themeColor="text1"/>
          <w:sz w:val="22"/>
          <w:szCs w:val="22"/>
          <w:shd w:val="clear" w:color="auto" w:fill="FFFFFF"/>
        </w:rPr>
        <w:t xml:space="preserve"> gene</w:t>
      </w:r>
      <w:r w:rsidR="00B327A3" w:rsidRPr="6CD91A3F">
        <w:rPr>
          <w:rFonts w:asciiTheme="minorHAnsi" w:hAnsiTheme="minorHAnsi" w:cstheme="minorBidi"/>
          <w:color w:val="000000" w:themeColor="text1"/>
          <w:sz w:val="22"/>
          <w:szCs w:val="22"/>
          <w:shd w:val="clear" w:color="auto" w:fill="FFFFFF"/>
        </w:rPr>
        <w:t xml:space="preserve"> sets</w:t>
      </w:r>
      <w:r w:rsidR="0058604F" w:rsidRPr="6CD91A3F">
        <w:rPr>
          <w:rFonts w:asciiTheme="minorHAnsi" w:hAnsiTheme="minorHAnsi" w:cstheme="minorBidi"/>
          <w:color w:val="000000" w:themeColor="text1"/>
          <w:sz w:val="22"/>
          <w:szCs w:val="22"/>
          <w:shd w:val="clear" w:color="auto" w:fill="FFFFFF"/>
        </w:rPr>
        <w:t xml:space="preserve"> </w:t>
      </w:r>
      <w:proofErr w:type="gramStart"/>
      <w:r w:rsidR="0058604F" w:rsidRPr="6CD91A3F">
        <w:rPr>
          <w:rFonts w:asciiTheme="minorHAnsi" w:hAnsiTheme="minorHAnsi" w:cstheme="minorBidi"/>
          <w:color w:val="000000" w:themeColor="text1"/>
          <w:sz w:val="22"/>
          <w:szCs w:val="22"/>
          <w:shd w:val="clear" w:color="auto" w:fill="FFFFFF"/>
        </w:rPr>
        <w:t>comparing:</w:t>
      </w:r>
      <w:proofErr w:type="gramEnd"/>
      <w:r w:rsidR="0058604F" w:rsidRPr="6CD91A3F">
        <w:rPr>
          <w:rFonts w:asciiTheme="minorHAnsi" w:hAnsiTheme="minorHAnsi" w:cstheme="minorBidi"/>
          <w:color w:val="000000" w:themeColor="text1"/>
          <w:sz w:val="22"/>
          <w:szCs w:val="22"/>
          <w:shd w:val="clear" w:color="auto" w:fill="FFFFFF"/>
        </w:rPr>
        <w:t xml:space="preserve"> </w:t>
      </w:r>
      <w:r w:rsidR="006322C8" w:rsidRPr="6CD91A3F">
        <w:rPr>
          <w:rFonts w:asciiTheme="minorHAnsi" w:hAnsiTheme="minorHAnsi" w:cstheme="minorBidi"/>
          <w:color w:val="000000" w:themeColor="text1"/>
          <w:sz w:val="22"/>
          <w:szCs w:val="22"/>
          <w:shd w:val="clear" w:color="auto" w:fill="FFFFFF"/>
        </w:rPr>
        <w:t>A) mock-mock vs. mock-Bd; B) Bd-mock vs. Bd-Bd; C) mock-Bd vs. Bd-Bd and D) mock-mock vs.</w:t>
      </w:r>
      <w:r w:rsidR="006322C8" w:rsidRPr="6CD91A3F" w:rsidDel="00CA2E61">
        <w:rPr>
          <w:rFonts w:asciiTheme="minorHAnsi" w:hAnsiTheme="minorHAnsi" w:cstheme="minorBidi"/>
          <w:color w:val="000000" w:themeColor="text1"/>
          <w:sz w:val="22"/>
          <w:szCs w:val="22"/>
          <w:shd w:val="clear" w:color="auto" w:fill="FFFFFF"/>
        </w:rPr>
        <w:t xml:space="preserve"> </w:t>
      </w:r>
      <w:r w:rsidR="006322C8" w:rsidRPr="6CD91A3F">
        <w:rPr>
          <w:rFonts w:asciiTheme="minorHAnsi" w:hAnsiTheme="minorHAnsi" w:cstheme="minorBidi"/>
          <w:color w:val="000000" w:themeColor="text1"/>
          <w:sz w:val="22"/>
          <w:szCs w:val="22"/>
          <w:shd w:val="clear" w:color="auto" w:fill="FFFFFF"/>
        </w:rPr>
        <w:t>Bd-mock. We used these</w:t>
      </w:r>
      <w:r w:rsidR="0058604F" w:rsidRPr="6CD91A3F">
        <w:rPr>
          <w:rFonts w:asciiTheme="minorHAnsi" w:hAnsiTheme="minorHAnsi" w:cstheme="minorBidi"/>
          <w:color w:val="000000" w:themeColor="text1"/>
          <w:sz w:val="22"/>
          <w:szCs w:val="22"/>
          <w:shd w:val="clear" w:color="auto" w:fill="FFFFFF"/>
        </w:rPr>
        <w:t xml:space="preserve"> gene</w:t>
      </w:r>
      <w:r w:rsidR="006322C8" w:rsidRPr="6CD91A3F">
        <w:rPr>
          <w:rFonts w:asciiTheme="minorHAnsi" w:hAnsiTheme="minorHAnsi" w:cstheme="minorBidi"/>
          <w:color w:val="000000" w:themeColor="text1"/>
          <w:sz w:val="22"/>
          <w:szCs w:val="22"/>
          <w:shd w:val="clear" w:color="auto" w:fill="FFFFFF"/>
        </w:rPr>
        <w:t xml:space="preserve"> set-</w:t>
      </w:r>
      <w:r w:rsidR="0058604F" w:rsidRPr="6CD91A3F">
        <w:rPr>
          <w:rFonts w:asciiTheme="minorHAnsi" w:hAnsiTheme="minorHAnsi" w:cstheme="minorBidi"/>
          <w:color w:val="000000" w:themeColor="text1"/>
          <w:sz w:val="22"/>
          <w:szCs w:val="22"/>
          <w:shd w:val="clear" w:color="auto" w:fill="FFFFFF"/>
        </w:rPr>
        <w:t xml:space="preserve">level comparisons to assess whether there were consistent </w:t>
      </w:r>
      <w:r w:rsidR="006322C8" w:rsidRPr="6CD91A3F">
        <w:rPr>
          <w:rFonts w:asciiTheme="minorHAnsi" w:hAnsiTheme="minorHAnsi" w:cstheme="minorBidi"/>
          <w:color w:val="000000" w:themeColor="text1"/>
          <w:sz w:val="22"/>
          <w:szCs w:val="22"/>
          <w:shd w:val="clear" w:color="auto" w:fill="FFFFFF"/>
        </w:rPr>
        <w:t xml:space="preserve">directional </w:t>
      </w:r>
      <w:r w:rsidR="0058604F" w:rsidRPr="6CD91A3F">
        <w:rPr>
          <w:rFonts w:asciiTheme="minorHAnsi" w:hAnsiTheme="minorHAnsi" w:cstheme="minorBidi"/>
          <w:color w:val="000000" w:themeColor="text1"/>
          <w:sz w:val="22"/>
          <w:szCs w:val="22"/>
          <w:shd w:val="clear" w:color="auto" w:fill="FFFFFF"/>
        </w:rPr>
        <w:t xml:space="preserve">expression shifts </w:t>
      </w:r>
      <w:r w:rsidR="00B327A3" w:rsidRPr="6CD91A3F">
        <w:rPr>
          <w:rFonts w:asciiTheme="minorHAnsi" w:hAnsiTheme="minorHAnsi" w:cstheme="minorBidi"/>
          <w:color w:val="000000" w:themeColor="text1"/>
          <w:sz w:val="22"/>
          <w:szCs w:val="22"/>
          <w:shd w:val="clear" w:color="auto" w:fill="FFFFFF"/>
        </w:rPr>
        <w:t>across genes</w:t>
      </w:r>
      <w:r w:rsidR="000D7FCE" w:rsidRPr="6CD91A3F">
        <w:rPr>
          <w:rFonts w:asciiTheme="minorHAnsi" w:hAnsiTheme="minorHAnsi" w:cstheme="minorBidi"/>
          <w:color w:val="000000" w:themeColor="text1"/>
          <w:sz w:val="22"/>
          <w:szCs w:val="22"/>
          <w:shd w:val="clear" w:color="auto" w:fill="FFFFFF"/>
        </w:rPr>
        <w:t>,</w:t>
      </w:r>
      <w:r w:rsidR="00B327A3" w:rsidRPr="6CD91A3F">
        <w:rPr>
          <w:rFonts w:asciiTheme="minorHAnsi" w:hAnsiTheme="minorHAnsi" w:cstheme="minorBidi"/>
          <w:color w:val="000000" w:themeColor="text1"/>
          <w:sz w:val="22"/>
          <w:szCs w:val="22"/>
          <w:shd w:val="clear" w:color="auto" w:fill="FFFFFF"/>
        </w:rPr>
        <w:t xml:space="preserve"> including those which may not have reached the threshold to yield</w:t>
      </w:r>
      <w:r w:rsidR="006322C8" w:rsidRPr="6CD91A3F">
        <w:rPr>
          <w:rFonts w:asciiTheme="minorHAnsi" w:hAnsiTheme="minorHAnsi" w:cstheme="minorBidi"/>
          <w:color w:val="000000" w:themeColor="text1"/>
          <w:sz w:val="22"/>
          <w:szCs w:val="22"/>
          <w:shd w:val="clear" w:color="auto" w:fill="FFFFFF"/>
        </w:rPr>
        <w:t xml:space="preserve"> significant DEGs in gene level comparisons</w:t>
      </w:r>
      <w:r w:rsidR="0058604F" w:rsidRPr="6CD91A3F">
        <w:rPr>
          <w:rFonts w:asciiTheme="minorHAnsi" w:hAnsiTheme="minorHAnsi" w:cstheme="minorBidi"/>
          <w:color w:val="000000" w:themeColor="text1"/>
          <w:sz w:val="22"/>
          <w:szCs w:val="22"/>
          <w:shd w:val="clear" w:color="auto" w:fill="FFFFFF"/>
        </w:rPr>
        <w:t>.</w:t>
      </w:r>
      <w:r w:rsidR="496B180A" w:rsidRPr="6CD91A3F">
        <w:rPr>
          <w:rFonts w:asciiTheme="minorHAnsi" w:hAnsiTheme="minorHAnsi" w:cstheme="minorBidi"/>
          <w:color w:val="000000" w:themeColor="text1"/>
          <w:sz w:val="22"/>
          <w:szCs w:val="22"/>
        </w:rPr>
        <w:t xml:space="preserve"> </w:t>
      </w:r>
      <w:r w:rsidR="000E7C31" w:rsidRPr="6CD91A3F">
        <w:rPr>
          <w:rFonts w:asciiTheme="minorHAnsi" w:hAnsiTheme="minorHAnsi" w:cstheme="minorBidi"/>
          <w:color w:val="000000" w:themeColor="text1"/>
          <w:sz w:val="22"/>
          <w:szCs w:val="22"/>
        </w:rPr>
        <w:t xml:space="preserve">We assessed GO term enrichment in these sets using the </w:t>
      </w:r>
      <w:proofErr w:type="spellStart"/>
      <w:r w:rsidR="000E7C31" w:rsidRPr="6CD91A3F">
        <w:rPr>
          <w:rFonts w:asciiTheme="minorHAnsi" w:hAnsiTheme="minorHAnsi" w:cstheme="minorBidi"/>
          <w:color w:val="000000" w:themeColor="text1"/>
          <w:sz w:val="22"/>
          <w:szCs w:val="22"/>
        </w:rPr>
        <w:t>topGO</w:t>
      </w:r>
      <w:proofErr w:type="spellEnd"/>
      <w:r w:rsidR="000E7C31" w:rsidRPr="6CD91A3F">
        <w:rPr>
          <w:rFonts w:asciiTheme="minorHAnsi" w:hAnsiTheme="minorHAnsi" w:cstheme="minorBidi"/>
          <w:color w:val="000000" w:themeColor="text1"/>
          <w:sz w:val="22"/>
          <w:szCs w:val="22"/>
        </w:rPr>
        <w:t xml:space="preserve"> package v.2.59.0 </w:t>
      </w:r>
      <w:r w:rsidR="000E7C31" w:rsidRPr="6CD91A3F">
        <w:rPr>
          <w:rFonts w:asciiTheme="minorHAnsi" w:hAnsiTheme="minorHAnsi" w:cstheme="minorBidi"/>
          <w:color w:val="000000" w:themeColor="text1"/>
          <w:sz w:val="22"/>
          <w:szCs w:val="22"/>
        </w:rPr>
        <w:fldChar w:fldCharType="begin"/>
      </w:r>
      <w:r w:rsidR="00E865C5" w:rsidRPr="6CD91A3F">
        <w:rPr>
          <w:rFonts w:asciiTheme="minorHAnsi" w:hAnsiTheme="minorHAnsi" w:cstheme="minorBidi"/>
          <w:color w:val="000000" w:themeColor="text1"/>
          <w:sz w:val="22"/>
          <w:szCs w:val="22"/>
        </w:rPr>
        <w:instrText xml:space="preserve"> ADDIN ZOTERO_ITEM CSL_CITATION {"citationID":"ZxlirxZk","properties":{"formattedCitation":"(46)","plainCitation":"(46)","noteIndex":0},"citationItems":[{"id":18506,"uris":["http://zotero.org/users/8183159/items/UN36VLNU"],"itemData":{"id":18506,"type":"webpage","abstract":"topGO package provides tools for testing GO terms while accounting for the topology of the GO graph. Different test statistics and different methods for eliminating local similarities and dependencies between GO terms can be implemented and applied.","container-title":"Bioconductor","language":"en-US","title":"topGO: Enrichment Analysis for Gene Ontology. 2.59.0","URL":"http://bioconductor.org/packages/topGO/","author":[{"family":"Alexa","given":"A"},{"family":"Rahnenfuhrer","given":"J"}],"accessed":{"date-parts":[["2025",5,28]]},"issued":{"date-parts":[["2024"]]}}}],"schema":"https://github.com/citation-style-language/schema/raw/master/csl-citation.json"} </w:instrText>
      </w:r>
      <w:r w:rsidR="000E7C31" w:rsidRPr="6CD91A3F">
        <w:rPr>
          <w:rFonts w:asciiTheme="minorHAnsi" w:hAnsiTheme="minorHAnsi" w:cstheme="minorBidi"/>
          <w:color w:val="000000" w:themeColor="text1"/>
          <w:sz w:val="22"/>
          <w:szCs w:val="22"/>
        </w:rPr>
        <w:fldChar w:fldCharType="separate"/>
      </w:r>
      <w:r w:rsidR="00E865C5" w:rsidRPr="6CD91A3F">
        <w:rPr>
          <w:rFonts w:asciiTheme="minorHAnsi" w:hAnsiTheme="minorHAnsi" w:cstheme="minorBidi"/>
          <w:color w:val="000000" w:themeColor="text1"/>
          <w:sz w:val="22"/>
          <w:szCs w:val="22"/>
        </w:rPr>
        <w:t>(46)</w:t>
      </w:r>
      <w:r w:rsidR="000E7C31" w:rsidRPr="6CD91A3F">
        <w:rPr>
          <w:rFonts w:asciiTheme="minorHAnsi" w:hAnsiTheme="minorHAnsi" w:cstheme="minorBidi"/>
          <w:color w:val="000000" w:themeColor="text1"/>
          <w:sz w:val="22"/>
          <w:szCs w:val="22"/>
        </w:rPr>
        <w:fldChar w:fldCharType="end"/>
      </w:r>
      <w:r w:rsidR="000E7C31" w:rsidRPr="6CD91A3F">
        <w:rPr>
          <w:rFonts w:asciiTheme="minorHAnsi" w:hAnsiTheme="minorHAnsi" w:cstheme="minorBidi"/>
          <w:color w:val="000000" w:themeColor="text1"/>
          <w:sz w:val="22"/>
          <w:szCs w:val="22"/>
        </w:rPr>
        <w:t xml:space="preserve"> and adjusted p-values for multiple testing using the False Discovery Rate method. </w:t>
      </w:r>
      <w:r w:rsidR="496B180A" w:rsidRPr="6CD91A3F">
        <w:rPr>
          <w:rFonts w:asciiTheme="minorHAnsi" w:hAnsiTheme="minorHAnsi" w:cstheme="minorBidi"/>
          <w:color w:val="000000" w:themeColor="text1"/>
          <w:sz w:val="22"/>
          <w:szCs w:val="22"/>
        </w:rPr>
        <w:t>We also manually curated these sets to only include immune genes and then assigned these immune genes into four broad categories: A) lymphocyte response; B) antimicrobial response; C)</w:t>
      </w:r>
      <w:r w:rsidR="496B180A" w:rsidRPr="6CD91A3F">
        <w:rPr>
          <w:rFonts w:asciiTheme="minorHAnsi" w:hAnsiTheme="minorHAnsi" w:cstheme="minorBidi"/>
          <w:sz w:val="22"/>
          <w:szCs w:val="22"/>
        </w:rPr>
        <w:t xml:space="preserve"> </w:t>
      </w:r>
      <w:r w:rsidR="496B180A" w:rsidRPr="6CD91A3F">
        <w:rPr>
          <w:rFonts w:asciiTheme="minorHAnsi" w:hAnsiTheme="minorHAnsi" w:cstheme="minorBidi"/>
          <w:color w:val="000000" w:themeColor="text1"/>
          <w:sz w:val="22"/>
          <w:szCs w:val="22"/>
        </w:rPr>
        <w:t>immune signaling; and D) immune ligands and receptors.</w:t>
      </w:r>
      <w:r w:rsidR="008C5BD1" w:rsidRPr="6CD91A3F">
        <w:rPr>
          <w:rFonts w:asciiTheme="minorHAnsi" w:hAnsiTheme="minorHAnsi" w:cstheme="minorBidi"/>
          <w:color w:val="000000" w:themeColor="text1"/>
          <w:sz w:val="22"/>
          <w:szCs w:val="22"/>
        </w:rPr>
        <w:t xml:space="preserve"> Gene roles were confirmed against published literature. We acknowledge that many immune gene are pleiotropic and some may fit into more than one of the categories demarcated here. Our assignments are based on a combination of the most prominent immune roles associated with respective genes and the most likely context(s) in which they may be involved in context of skin immune responses.</w:t>
      </w:r>
      <w:r w:rsidR="000E7C31" w:rsidRPr="000E7C31">
        <w:rPr>
          <w:rFonts w:ascii="Calibri" w:hAnsi="Calibri"/>
          <w:color w:val="000000"/>
          <w:sz w:val="22"/>
          <w:szCs w:val="22"/>
          <w:shd w:val="clear" w:color="auto" w:fill="FFFFFF"/>
        </w:rPr>
        <w:t xml:space="preserve"> </w:t>
      </w:r>
    </w:p>
    <w:p w14:paraId="076DBD65" w14:textId="77777777" w:rsidR="007C10E3" w:rsidRDefault="007C10E3" w:rsidP="0058604F">
      <w:pPr>
        <w:spacing w:line="480" w:lineRule="auto"/>
        <w:rPr>
          <w:rFonts w:asciiTheme="minorHAnsi" w:hAnsiTheme="minorHAnsi" w:cstheme="minorBidi"/>
          <w:color w:val="000000" w:themeColor="text1"/>
          <w:sz w:val="22"/>
          <w:szCs w:val="22"/>
          <w:shd w:val="clear" w:color="auto" w:fill="FFFFFF"/>
        </w:rPr>
      </w:pPr>
    </w:p>
    <w:p w14:paraId="7C60131F" w14:textId="77777777" w:rsidR="007C10E3" w:rsidRPr="00D16989" w:rsidRDefault="552FBC60" w:rsidP="552FBC60">
      <w:pPr>
        <w:tabs>
          <w:tab w:val="left" w:pos="2442"/>
        </w:tabs>
        <w:spacing w:line="480" w:lineRule="auto"/>
        <w:rPr>
          <w:rFonts w:asciiTheme="minorHAnsi" w:hAnsiTheme="minorHAnsi" w:cstheme="minorBidi"/>
          <w:b/>
          <w:bCs/>
          <w:sz w:val="22"/>
          <w:szCs w:val="22"/>
        </w:rPr>
      </w:pPr>
      <w:r w:rsidRPr="552FBC60">
        <w:rPr>
          <w:rFonts w:asciiTheme="minorHAnsi" w:hAnsiTheme="minorHAnsi" w:cstheme="minorBidi"/>
          <w:b/>
          <w:bCs/>
          <w:sz w:val="22"/>
          <w:szCs w:val="22"/>
        </w:rPr>
        <w:lastRenderedPageBreak/>
        <w:t xml:space="preserve">Microbiome analysis </w:t>
      </w:r>
    </w:p>
    <w:p w14:paraId="04B96EC0" w14:textId="4A1D3567" w:rsidR="004C3E79" w:rsidRDefault="2C51EBB5" w:rsidP="2C51EBB5">
      <w:pPr>
        <w:tabs>
          <w:tab w:val="left" w:pos="2442"/>
        </w:tabs>
        <w:spacing w:line="480" w:lineRule="auto"/>
        <w:rPr>
          <w:rFonts w:asciiTheme="minorHAnsi" w:hAnsiTheme="minorHAnsi" w:cstheme="minorBidi"/>
          <w:sz w:val="22"/>
          <w:szCs w:val="22"/>
        </w:rPr>
      </w:pPr>
      <w:r w:rsidRPr="2C51EBB5">
        <w:rPr>
          <w:rFonts w:asciiTheme="minorHAnsi" w:hAnsiTheme="minorHAnsi" w:cstheme="minorBidi"/>
          <w:sz w:val="22"/>
          <w:szCs w:val="22"/>
        </w:rPr>
        <w:t>Genomic DNA was extracted from skin swabs collected on day</w:t>
      </w:r>
      <w:r w:rsidR="00B15051">
        <w:rPr>
          <w:rFonts w:asciiTheme="minorHAnsi" w:hAnsiTheme="minorHAnsi" w:cstheme="minorBidi"/>
          <w:sz w:val="22"/>
          <w:szCs w:val="22"/>
        </w:rPr>
        <w:t>s</w:t>
      </w:r>
      <w:r w:rsidRPr="2C51EBB5">
        <w:rPr>
          <w:rFonts w:asciiTheme="minorHAnsi" w:hAnsiTheme="minorHAnsi" w:cstheme="minorBidi"/>
          <w:sz w:val="22"/>
          <w:szCs w:val="22"/>
        </w:rPr>
        <w:t xml:space="preserve"> -1, 46 and 118 in Bd treatment 1, and day</w:t>
      </w:r>
      <w:r w:rsidR="00B15051">
        <w:rPr>
          <w:rFonts w:asciiTheme="minorHAnsi" w:hAnsiTheme="minorHAnsi" w:cstheme="minorBidi"/>
          <w:sz w:val="22"/>
          <w:szCs w:val="22"/>
        </w:rPr>
        <w:t>s</w:t>
      </w:r>
      <w:r w:rsidRPr="2C51EBB5">
        <w:rPr>
          <w:rFonts w:asciiTheme="minorHAnsi" w:hAnsiTheme="minorHAnsi" w:cstheme="minorBidi"/>
          <w:sz w:val="22"/>
          <w:szCs w:val="22"/>
        </w:rPr>
        <w:t xml:space="preserve"> 14 and 29 in Bd treatment 2 using the </w:t>
      </w:r>
      <w:proofErr w:type="spellStart"/>
      <w:r w:rsidRPr="2C51EBB5">
        <w:rPr>
          <w:rFonts w:asciiTheme="minorHAnsi" w:hAnsiTheme="minorHAnsi" w:cstheme="minorBidi"/>
          <w:sz w:val="22"/>
          <w:szCs w:val="22"/>
        </w:rPr>
        <w:t>DNeasy</w:t>
      </w:r>
      <w:proofErr w:type="spellEnd"/>
      <w:r w:rsidRPr="2C51EBB5">
        <w:rPr>
          <w:rFonts w:asciiTheme="minorHAnsi" w:hAnsiTheme="minorHAnsi" w:cstheme="minorBidi"/>
          <w:sz w:val="22"/>
          <w:szCs w:val="22"/>
        </w:rPr>
        <w:t xml:space="preserve"> </w:t>
      </w:r>
      <w:proofErr w:type="spellStart"/>
      <w:r w:rsidRPr="2C51EBB5">
        <w:rPr>
          <w:rFonts w:asciiTheme="minorHAnsi" w:hAnsiTheme="minorHAnsi" w:cstheme="minorBidi"/>
          <w:sz w:val="22"/>
          <w:szCs w:val="22"/>
        </w:rPr>
        <w:t>PowerSoil</w:t>
      </w:r>
      <w:proofErr w:type="spellEnd"/>
      <w:r w:rsidRPr="2C51EBB5">
        <w:rPr>
          <w:rFonts w:asciiTheme="minorHAnsi" w:hAnsiTheme="minorHAnsi" w:cstheme="minorBidi"/>
          <w:sz w:val="22"/>
          <w:szCs w:val="22"/>
        </w:rPr>
        <w:t xml:space="preserve"> Pro kit (Qiagen). For bacterial community characterization, the V4–V5 region of the 16S rRNA gene was amplified from samples and controls (negative and positive extraction and PCR controls) using the universal primers 515F-Y and 939R </w:t>
      </w:r>
      <w:r w:rsidR="008F24BB" w:rsidRPr="2C51EBB5">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{"citationID":"89CyPTZd","properties":{"formattedCitation":"(47)","plainCitation":"(47)","noteIndex":0},"citationItems":[{"id":19528,"uris":["http://zotero.org/groups/6008588/items/ZTUY4EKI"],"itemData":{"id":19528,"type":"article-journal","abstract":"Milk is a complex biochemical fluid that includes macronutrients and microbiota, which, together, are known to facilitate infant growth, mediate the colonization of infant microbiomes, and promote immune development. Examining factors that shape milk microbiomes and milk-nutrient interplay across host taxa is critical to resolving the evolution of the milk environment. Using a comparative approach across four cercopithecine primate species housed at three facilities under similar management conditions, we test for the respective influences of the local environment (housing facility) and host species on milk (a) macronutrients (fat, sugar, and protein), (b) microbiomes (16S rRNA), and (c) predicted microbial functions. We found that milk macronutrients were structured according to host species, while milk microbiomes and predicted function were strongly shaped by the local environment and, to a lesser extent, host species. The milk microbiomes of rhesus macaques (Macaca mulatta) at two different facilities more closely resembled those of heterospecific facility-mates compared to conspecifics at a different facility. We found similar, facility-driven patterns of microbial functions linked to physiology and immune modulation, suggesting that milk microbiomes may influence infant health and development. These results provide novel insight into the complexity of milk and its potential impact on infants across species and environments.","container-title":"Environmental Microbiology","DOI":"10.1111/1462-2920.16664","ISSN":"1462-2920","issue":"6","journalAbbreviation":"Environ Microbiol","language":"eng","page":"e16664","PMID":"38830671","source":"PubMed","title":"Local environment shapes milk microbiomes while evolutionary history constrains milk macronutrients in captive cercopithecine primates","volume":"26","author":[{"family":"Bornbusch","given":"Sally L."},{"family":"Shinnerl","given":"Hannah E."},{"family":"Gentry","given":"Lindsey"},{"family":"Keady","given":"Mia M."},{"family":"Glick","given":"Virginia"},{"family":"Muletz-Wolz","given":"Carly R."},{"family":"Power","given":"Michael L."}],"issued":{"date-parts":[["2024",6]]}}}],"schema":"https://github.com/citation-style-language/schema/raw/master/csl-citation.json"} </w:instrText>
      </w:r>
      <w:r w:rsidR="008F24BB" w:rsidRPr="2C51EBB5">
        <w:rPr>
          <w:rFonts w:asciiTheme="minorHAnsi" w:hAnsiTheme="minorHAnsi" w:cstheme="minorBidi"/>
          <w:sz w:val="22"/>
          <w:szCs w:val="22"/>
        </w:rPr>
        <w:fldChar w:fldCharType="separate"/>
      </w:r>
      <w:r w:rsidR="00E865C5">
        <w:rPr>
          <w:rFonts w:asciiTheme="minorHAnsi" w:hAnsiTheme="minorHAnsi" w:cstheme="minorBidi"/>
          <w:noProof/>
          <w:sz w:val="22"/>
          <w:szCs w:val="22"/>
        </w:rPr>
        <w:t>(47)</w:t>
      </w:r>
      <w:r w:rsidR="008F24BB" w:rsidRPr="2C51EBB5">
        <w:rPr>
          <w:rFonts w:asciiTheme="minorHAnsi" w:hAnsiTheme="minorHAnsi" w:cstheme="minorBidi"/>
          <w:sz w:val="22"/>
          <w:szCs w:val="22"/>
        </w:rPr>
        <w:fldChar w:fldCharType="end"/>
      </w:r>
      <w:r w:rsidRPr="2C51EBB5">
        <w:rPr>
          <w:rFonts w:asciiTheme="minorHAnsi" w:hAnsiTheme="minorHAnsi" w:cstheme="minorBidi"/>
          <w:sz w:val="22"/>
          <w:szCs w:val="22"/>
        </w:rPr>
        <w:t>. For fungal community characterization, the ITS2 region was amplified from samples and controls (</w:t>
      </w:r>
      <w:proofErr w:type="spellStart"/>
      <w:r w:rsidR="00E559B7" w:rsidRPr="00E559B7">
        <w:rPr>
          <w:rFonts w:asciiTheme="minorHAnsi" w:hAnsiTheme="minorHAnsi" w:cstheme="minorBidi"/>
          <w:sz w:val="22"/>
          <w:szCs w:val="22"/>
        </w:rPr>
        <w:t>Zymo</w:t>
      </w:r>
      <w:proofErr w:type="spellEnd"/>
      <w:r w:rsidR="00E559B7" w:rsidRPr="00E559B7">
        <w:rPr>
          <w:rFonts w:asciiTheme="minorHAnsi" w:hAnsiTheme="minorHAnsi" w:cstheme="minorBidi"/>
          <w:sz w:val="22"/>
          <w:szCs w:val="22"/>
        </w:rPr>
        <w:t xml:space="preserve"> controls; D6300 (</w:t>
      </w:r>
      <w:proofErr w:type="spellStart"/>
      <w:r w:rsidR="00E559B7" w:rsidRPr="00E559B7">
        <w:rPr>
          <w:rFonts w:asciiTheme="minorHAnsi" w:hAnsiTheme="minorHAnsi" w:cstheme="minorBidi"/>
          <w:sz w:val="22"/>
          <w:szCs w:val="22"/>
        </w:rPr>
        <w:t>Zymo</w:t>
      </w:r>
      <w:proofErr w:type="spellEnd"/>
      <w:r w:rsidR="00E559B7" w:rsidRPr="00E559B7">
        <w:rPr>
          <w:rFonts w:asciiTheme="minorHAnsi" w:hAnsiTheme="minorHAnsi" w:cstheme="minorBidi"/>
          <w:sz w:val="22"/>
          <w:szCs w:val="22"/>
        </w:rPr>
        <w:t xml:space="preserve"> Community Standard for positive extraction control) and D6305 (DNA standard for PCR positive amplification control</w:t>
      </w:r>
      <w:r w:rsidRPr="2C51EBB5">
        <w:rPr>
          <w:rFonts w:asciiTheme="minorHAnsi" w:hAnsiTheme="minorHAnsi" w:cstheme="minorBidi"/>
          <w:sz w:val="22"/>
          <w:szCs w:val="22"/>
        </w:rPr>
        <w:t xml:space="preserve">) using the universal primers ITS86F and ITS4 </w:t>
      </w:r>
      <w:r w:rsidR="008F24BB" w:rsidRPr="2C51EBB5">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{"citationID":"fSMoQ5SA","properties":{"formattedCitation":"(48)","plainCitation":"(48)","noteIndex":0},"citationItems":[{"id":18819,"uris":["http://zotero.org/groups/5389589/items/BGBCIVNM"],"itemData":{"id":18819,"type":"article-journal","abstract":"Arabica coffee (Coffea arabica) is cultivated throughout the tropics and is essential to local economies. Globally, most Arabica coffee is farmed in high-density monocultures despite evidence that agroforestry systems with shade trees can increase resiliency of coffee productivity and associated livelihoods. Open questions remain, however, on how Arabica coffee farm management affects local soil properties, especially soil microbial communities which are vital to plant productivity. To test if Arabica coffee soil microbiomes respond to farm management across geographies, we collected soil samples at coffee farms in Colombia and El Salvador that differed in management system (sun grown vs. shade grown) and soil samples in Peru that varied in agroforestry systems (native vs. non-native shade tree species). From these soils, we sequenced microbial DNA on an Illumina MiSeq to identify bacterial and fungal community diversity and composition. We found that each country had distinct soil microbial communities, and we describe their microbial profiles. In El Salvador and Colombia, both bacterial and fungal community composition differed between sun and shade systems, while alpha diversity of bacterial communities was only lower in El Salvador sun grown Arabica coffee soils. Within Peru agroforestry systems, bacterial and fungal composition differed between farms with non-native shade trees (Eucalyptus grandis and Pinus tecunumanii) and native shade trees (dominated by Inga spp.), but alpha diversity was not statistically different between agroforestry systems. Across all farms, composite microbial association networks showed similar topology, but distinctions in connectors and hub taxa, showcasing regional differences in potentially key microbial taxa. Our findings indicate that aboveground Arabica coffee farm management impacts belowground microbial biodiversity. A better understanding of these relationships can assist us in predicting how Arabica coffee production will be impacted by farm management changes and is essential for understanding the resilience of coffee farms.","citation-key":"kutos_farm_2024","container-title":"Applied Soil Ecology","DOI":"10.1016/j.apsoil.2024.105571","ISSN":"09291393","journalAbbreviation":"Applied Soil Ecology","language":"en","note":"Citations: 4 (Crossref) [2025-09-30]\nCitations: 3 (SemanticScholar) [2025-09-30]","page":"105571","source":"DOI.org (Crossref)","title":"Farm management and shade tree species influence coffee soil microbiomes in Central and South America","volume":"202","author":[{"family":"Kutos","given":"Steve"},{"family":"Bennett","given":"Ruth E."},{"family":"Rao","given":"Maya V."},{"family":"Fleischer","given":"Robert C."},{"family":"Rice","given":"Robert A."},{"family":"Muletz-Wolz","given":"Carly R."}],"issued":{"date-parts":[["2024",10]]}}}],"schema":"https://github.com/citation-style-language/schema/raw/master/csl-citation.json"} </w:instrText>
      </w:r>
      <w:r w:rsidR="008F24BB" w:rsidRPr="2C51EBB5">
        <w:rPr>
          <w:rFonts w:asciiTheme="minorHAnsi" w:hAnsiTheme="minorHAnsi" w:cstheme="minorBidi"/>
          <w:sz w:val="22"/>
          <w:szCs w:val="22"/>
        </w:rPr>
        <w:fldChar w:fldCharType="separate"/>
      </w:r>
      <w:r w:rsidR="00E865C5">
        <w:rPr>
          <w:rFonts w:asciiTheme="minorHAnsi" w:hAnsiTheme="minorHAnsi" w:cstheme="minorBidi"/>
          <w:noProof/>
          <w:sz w:val="22"/>
          <w:szCs w:val="22"/>
        </w:rPr>
        <w:t>(48)</w:t>
      </w:r>
      <w:r w:rsidR="008F24BB" w:rsidRPr="2C51EBB5">
        <w:rPr>
          <w:rFonts w:asciiTheme="minorHAnsi" w:hAnsiTheme="minorHAnsi" w:cstheme="minorBidi"/>
          <w:sz w:val="22"/>
          <w:szCs w:val="22"/>
        </w:rPr>
        <w:fldChar w:fldCharType="end"/>
      </w:r>
      <w:r w:rsidRPr="2C51EBB5">
        <w:rPr>
          <w:rFonts w:asciiTheme="minorHAnsi" w:hAnsiTheme="minorHAnsi" w:cstheme="minorBidi"/>
          <w:sz w:val="22"/>
          <w:szCs w:val="22"/>
        </w:rPr>
        <w:t xml:space="preserve">. The equimolar pooled products from each library (one bacterial library and one fungal library) were individually sequenced on a </w:t>
      </w:r>
      <w:proofErr w:type="spellStart"/>
      <w:r w:rsidRPr="2C51EBB5">
        <w:rPr>
          <w:rFonts w:asciiTheme="minorHAnsi" w:hAnsiTheme="minorHAnsi" w:cstheme="minorBidi"/>
          <w:sz w:val="22"/>
          <w:szCs w:val="22"/>
        </w:rPr>
        <w:t>MiSeq</w:t>
      </w:r>
      <w:proofErr w:type="spellEnd"/>
      <w:r w:rsidRPr="2C51EBB5">
        <w:rPr>
          <w:rFonts w:asciiTheme="minorHAnsi" w:hAnsiTheme="minorHAnsi" w:cstheme="minorBidi"/>
          <w:sz w:val="22"/>
          <w:szCs w:val="22"/>
        </w:rPr>
        <w:t xml:space="preserve"> (Illumina) run (2 × 300 V3 kit) at the Center for Conservation Genomics at the Smithsonian National Zoo &amp; Conservation Biology Institute. </w:t>
      </w:r>
    </w:p>
    <w:p w14:paraId="6C119FF2" w14:textId="77777777" w:rsidR="004C3E79" w:rsidRDefault="004C3E79" w:rsidP="007C10E3">
      <w:pPr>
        <w:tabs>
          <w:tab w:val="left" w:pos="2442"/>
        </w:tabs>
        <w:spacing w:line="480" w:lineRule="auto"/>
        <w:rPr>
          <w:rFonts w:asciiTheme="minorHAnsi" w:hAnsiTheme="minorHAnsi" w:cstheme="minorHAnsi"/>
          <w:sz w:val="22"/>
          <w:szCs w:val="22"/>
        </w:rPr>
      </w:pPr>
    </w:p>
    <w:p w14:paraId="0CCA960F" w14:textId="24481D09" w:rsidR="007C10E3" w:rsidRPr="00D16989" w:rsidRDefault="03467758" w:rsidP="552FBC60">
      <w:pPr>
        <w:tabs>
          <w:tab w:val="left" w:pos="2442"/>
        </w:tabs>
        <w:spacing w:line="480" w:lineRule="auto"/>
        <w:rPr>
          <w:rFonts w:asciiTheme="minorHAnsi" w:hAnsiTheme="minorHAnsi" w:cstheme="minorBidi"/>
          <w:sz w:val="22"/>
          <w:szCs w:val="22"/>
        </w:rPr>
      </w:pPr>
      <w:r w:rsidRPr="03467758">
        <w:rPr>
          <w:rFonts w:asciiTheme="minorHAnsi" w:hAnsiTheme="minorHAnsi" w:cstheme="minorBidi"/>
          <w:sz w:val="22"/>
          <w:szCs w:val="22"/>
        </w:rPr>
        <w:t xml:space="preserve">Bioinformatics and statistics were performed primarily in R with minor processes in other programs where specified. For bacteria, we used dada2 package </w:t>
      </w:r>
      <w:r w:rsidR="57D19332" w:rsidRPr="03467758">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{"citationID":"0cPObg9u","properties":{"formattedCitation":"(49)","plainCitation":"(49)","noteIndex":0},"citationItems":[{"id":"jhYPt1yk/i6RcWjRn","uris":["http://zotero.org/users/5354645/items/A34TR9KC"],"itemData":{"id":1247,"type":"article-journal","container-title":"Nature methods","issue":"7","note":"publisher: Nature Publishing Group US New York","page":"581–583","title":"DADA2: High-resolution sample inference from Illumina amplicon data","volume":"13","author":[{"family":"Callahan","given":"Benjamin J"},{"family":"McMurdie","given":"Paul J"},{"family":"Rosen","given":"Michael J"},{"family":"Han","given":"Andrew W"},{"family":"Johnson","given":"Amy Jo A"},{"family":"Holmes","given":"Susan P"}],"issued":{"date-parts":[["2016"]]}}}],"schema":"https://github.com/citation-style-language/schema/raw/master/csl-citation.json"} </w:instrText>
      </w:r>
      <w:r w:rsidR="57D19332" w:rsidRPr="03467758">
        <w:rPr>
          <w:rFonts w:asciiTheme="minorHAnsi" w:hAnsiTheme="minorHAnsi" w:cstheme="minorBidi"/>
          <w:sz w:val="22"/>
          <w:szCs w:val="22"/>
        </w:rPr>
        <w:fldChar w:fldCharType="separate"/>
      </w:r>
      <w:r w:rsidR="00E865C5">
        <w:rPr>
          <w:rFonts w:asciiTheme="minorHAnsi" w:hAnsiTheme="minorHAnsi" w:cstheme="minorBidi"/>
          <w:sz w:val="22"/>
          <w:szCs w:val="22"/>
        </w:rPr>
        <w:t>(49)</w:t>
      </w:r>
      <w:r w:rsidR="57D19332" w:rsidRPr="03467758">
        <w:rPr>
          <w:rFonts w:asciiTheme="minorHAnsi" w:hAnsiTheme="minorHAnsi" w:cstheme="minorBidi"/>
          <w:sz w:val="22"/>
          <w:szCs w:val="22"/>
        </w:rPr>
        <w:fldChar w:fldCharType="end"/>
      </w:r>
      <w:r w:rsidRPr="03467758">
        <w:rPr>
          <w:rFonts w:asciiTheme="minorHAnsi" w:hAnsiTheme="minorHAnsi" w:cstheme="minorBidi"/>
          <w:sz w:val="22"/>
          <w:szCs w:val="22"/>
        </w:rPr>
        <w:t xml:space="preserve"> to remove primer sequences, low quality reads, filter and trim sequences, and remove chimeric sequences. For fungi, we used </w:t>
      </w:r>
      <w:proofErr w:type="spellStart"/>
      <w:r w:rsidRPr="03467758">
        <w:rPr>
          <w:rFonts w:asciiTheme="minorHAnsi" w:hAnsiTheme="minorHAnsi" w:cstheme="minorBidi"/>
          <w:sz w:val="22"/>
          <w:szCs w:val="22"/>
        </w:rPr>
        <w:t>CutAdapt</w:t>
      </w:r>
      <w:proofErr w:type="spellEnd"/>
      <w:r w:rsidRPr="03467758">
        <w:rPr>
          <w:rFonts w:asciiTheme="minorHAnsi" w:hAnsiTheme="minorHAnsi" w:cstheme="minorBidi"/>
          <w:sz w:val="22"/>
          <w:szCs w:val="22"/>
        </w:rPr>
        <w:t xml:space="preserve"> (</w:t>
      </w:r>
      <w:proofErr w:type="spellStart"/>
      <w:r w:rsidRPr="03467758">
        <w:rPr>
          <w:rFonts w:asciiTheme="minorHAnsi" w:hAnsiTheme="minorHAnsi" w:cstheme="minorBidi"/>
          <w:sz w:val="22"/>
          <w:szCs w:val="22"/>
        </w:rPr>
        <w:t>ver</w:t>
      </w:r>
      <w:proofErr w:type="spellEnd"/>
      <w:r w:rsidRPr="03467758">
        <w:rPr>
          <w:rFonts w:asciiTheme="minorHAnsi" w:hAnsiTheme="minorHAnsi" w:cstheme="minorBidi"/>
          <w:sz w:val="22"/>
          <w:szCs w:val="22"/>
        </w:rPr>
        <w:t xml:space="preserve"> 4.9, </w:t>
      </w:r>
      <w:r w:rsidR="57D19332" w:rsidRPr="03467758">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{"citationID":"Jl9YLBiX","properties":{"formattedCitation":"(Martin, 2011)","plainCitation":"(Martin, 2011)","dontUpdate":true,"noteIndex":0},"citationItems":[{"id":"jhYPt1yk/Si0ITRUP","uris":["http://zotero.org/users/5354645/items/FYA6GVSI"],"itemData":{"id":3314,"type":"article-journal","abstract":"When small RNA is sequenced on current sequencing machines, the resulting reads are usually longer than the RNA and therefore contain parts of the 3' adapter. That adapter must be found and removed error-tolerantly from each read before read mapping. Previous solutions are either hard to use or do not offer required features, in particular support for color space data. As an easy to use alternative, we developed the command-line tool cutadapt, which supports 454, Illumina and SOLiD (color space) data, offers two adapter trimming algorithms, and has other useful features. Cutadapt, including its MIT-licensed source code, is available for download at http://code.google.com/p/cutadapt/","container-title":"EMBnet.journal","DOI":"10.14806/ej.17.1.200","ISSN":"2226-6089","issue":"1","language":"en","license":"Copyright (c)","note":"number: 1","page":"10-12","source":"journal.embnet.org","title":"Cutadapt removes adapter sequences from high-throughput sequencing reads","volume":"17","author":[{"family":"Martin","given":"Marcel"}],"issued":{"date-parts":[["2011",5,2]]}}}],"schema":"https://github.com/citation-style-language/schema/raw/master/csl-citation.json"} </w:instrText>
      </w:r>
      <w:r w:rsidR="57D19332" w:rsidRPr="03467758">
        <w:rPr>
          <w:rFonts w:asciiTheme="minorHAnsi" w:hAnsiTheme="minorHAnsi" w:cstheme="minorBidi"/>
          <w:sz w:val="22"/>
          <w:szCs w:val="22"/>
        </w:rPr>
        <w:fldChar w:fldCharType="separate"/>
      </w:r>
      <w:r w:rsidRPr="03467758">
        <w:rPr>
          <w:rFonts w:asciiTheme="minorHAnsi" w:hAnsiTheme="minorHAnsi" w:cstheme="minorBidi"/>
          <w:sz w:val="22"/>
          <w:szCs w:val="22"/>
        </w:rPr>
        <w:t>Martin, 2011)</w:t>
      </w:r>
      <w:r w:rsidR="57D19332" w:rsidRPr="03467758">
        <w:rPr>
          <w:rFonts w:asciiTheme="minorHAnsi" w:hAnsiTheme="minorHAnsi" w:cstheme="minorBidi"/>
          <w:sz w:val="22"/>
          <w:szCs w:val="22"/>
        </w:rPr>
        <w:fldChar w:fldCharType="end"/>
      </w:r>
      <w:r w:rsidRPr="03467758">
        <w:rPr>
          <w:rFonts w:asciiTheme="minorHAnsi" w:hAnsiTheme="minorHAnsi" w:cstheme="minorBidi"/>
          <w:sz w:val="22"/>
          <w:szCs w:val="22"/>
        </w:rPr>
        <w:t xml:space="preserve"> in Python (</w:t>
      </w:r>
      <w:proofErr w:type="spellStart"/>
      <w:r w:rsidRPr="03467758">
        <w:rPr>
          <w:rFonts w:asciiTheme="minorHAnsi" w:hAnsiTheme="minorHAnsi" w:cstheme="minorBidi"/>
          <w:sz w:val="22"/>
          <w:szCs w:val="22"/>
        </w:rPr>
        <w:t>ver</w:t>
      </w:r>
      <w:proofErr w:type="spellEnd"/>
      <w:r w:rsidRPr="03467758">
        <w:rPr>
          <w:rFonts w:asciiTheme="minorHAnsi" w:hAnsiTheme="minorHAnsi" w:cstheme="minorBidi"/>
          <w:sz w:val="22"/>
          <w:szCs w:val="22"/>
        </w:rPr>
        <w:t xml:space="preserve"> 3.13.0) to remove adaptors and primer sequences and filter reads, then used dada2 for downstream processing. We assigned taxonomy for fungal ASV’s using the UNITE database (</w:t>
      </w:r>
      <w:proofErr w:type="spellStart"/>
      <w:r w:rsidRPr="03467758">
        <w:rPr>
          <w:rFonts w:asciiTheme="minorHAnsi" w:hAnsiTheme="minorHAnsi" w:cstheme="minorBidi"/>
          <w:sz w:val="22"/>
          <w:szCs w:val="22"/>
        </w:rPr>
        <w:t>ver</w:t>
      </w:r>
      <w:proofErr w:type="spellEnd"/>
      <w:r w:rsidRPr="03467758">
        <w:rPr>
          <w:rFonts w:asciiTheme="minorHAnsi" w:hAnsiTheme="minorHAnsi" w:cstheme="minorBidi"/>
          <w:sz w:val="22"/>
          <w:szCs w:val="22"/>
        </w:rPr>
        <w:t xml:space="preserve"> 8.3, </w:t>
      </w:r>
      <w:r w:rsidR="57D19332" w:rsidRPr="03467758">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{"citationID":"9txp0TV1","properties":{"formattedCitation":"(Abarenkov {\\i{}et al.}, 2024)","plainCitation":"(Abarenkov et al., 2024)","dontUpdate":true,"noteIndex":0},"citationItems":[{"id":"jhYPt1yk/l5SgjSAq","uris":["http://zotero.org/users/5354645/items/AAPWTJ95"],"itemData":{"id":3311,"type":"article-journal","abstract":"UNITE (https://unite.ut.ee) is a web-based database and sequence management environment for molecular identification of eukaryotes. It targets the nuclear ribosomal internal transcribed spacer (ITS) region and offers nearly 10 million such sequences for reference. These are clustered into </w:instrText>
      </w:r>
      <w:r w:rsidR="006159DD">
        <w:rPr>
          <w:rFonts w:ascii="Cambria Math" w:hAnsi="Cambria Math" w:cs="Cambria Math"/>
          <w:sz w:val="22"/>
          <w:szCs w:val="22"/>
        </w:rPr>
        <w:instrText>∼</w:instrText>
      </w:r>
      <w:r w:rsidR="006159DD">
        <w:rPr>
          <w:rFonts w:asciiTheme="minorHAnsi" w:hAnsiTheme="minorHAnsi" w:cstheme="minorBidi"/>
          <w:sz w:val="22"/>
          <w:szCs w:val="22"/>
        </w:rPr>
        <w:instrText xml:space="preserve">2.4M species hypotheses (SHs), each assigned a unique digital object identifier (DOI) to promote unambiguous referencing across studies. UNITE users have contributed over 600 000 third-party sequence annotations, which are shared with a range of databases and other community resources. Recent improvements facilitate the detection of cross-kingdom biological associations and the integration of undescribed groups of organisms into everyday biological pursuits. Serving as a digital twin for eukaryotic biodiversity and communities worldwide, the latest release of UNITE offers improved avenues for biodiversity discovery, precise taxonomic communication and integration of biological knowledge across platforms.","container-title":"Nucleic Acids Research","DOI":"10.1093/nar/gkad1039","ISSN":"0305-1048","issue":"D1","journalAbbreviation":"Nucleic Acids Research","page":"D791-D797","source":"Silverchair","title":"The UNITE database for molecular identification and taxonomic communication of fungi and other eukaryotes: sequences, taxa and classifications reconsidered","title-short":"The UNITE database for molecular identification and taxonomic communication of fungi and other eukaryotes","volume":"52","author":[{"family":"Abarenkov","given":"Kessy"},{"family":"Nilsson","given":"R Henrik"},{"family":"Larsson","given":"Karl-Henrik"},{"family":"Taylor","given":"Andy F S"},{"family":"May","given":"Tom W"},{"family":"Frøslev","given":"Tobias Guldberg"},{"family":"Pawlowska","given":"Julia"},{"family":"Lindahl","given":"Björn"},{"family":"Põldmaa","given":"Kadri"},{"family":"Truong","given":"Camille"},{"family":"Vu","given":"Duong"},{"family":"Hosoya","given":"Tsuyoshi"},{"family":"Niskanen","given":"Tuula"},{"family":"Piirmann","given":"Timo"},{"family":"Ivanov","given":"Filipp"},{"family":"Zirk","given":"Allan"},{"family":"Peterson","given":"Marko"},{"family":"Cheeke","given":"Tanya E"},{"family":"Ishigami","given":"Yui"},{"family":"Jansson","given":"Arnold Tobias"},{"family":"Jeppesen","given":"Thomas Stjernegaard"},{"family":"Kristiansson","given":"Erik"},{"family":"Mikryukov","given":"Vladimir"},{"family":"Miller","given":"Joseph T"},{"family":"Oono","given":"Ryoko"},{"family":"Ossandon","given":"Francisco J"},{"family":"Paupério","given":"Joana"},{"family":"Saar","given":"Irja"},{"family":"Schigel","given":"Dmitry"},{"family":"Suija","given":"Ave"},{"family":"Tedersoo","given":"Leho"},{"family":"Kõljalg","given":"Urmas"}],"issued":{"date-parts":[["2024",1,5]]}}}],"schema":"https://github.com/citation-style-language/schema/raw/master/csl-citation.json"} </w:instrText>
      </w:r>
      <w:r w:rsidR="57D19332" w:rsidRPr="03467758">
        <w:rPr>
          <w:rFonts w:asciiTheme="minorHAnsi" w:hAnsiTheme="minorHAnsi" w:cstheme="minorBidi"/>
          <w:sz w:val="22"/>
          <w:szCs w:val="22"/>
        </w:rPr>
        <w:fldChar w:fldCharType="separate"/>
      </w:r>
      <w:proofErr w:type="spellStart"/>
      <w:r w:rsidRPr="03467758">
        <w:rPr>
          <w:rFonts w:asciiTheme="minorHAnsi" w:hAnsiTheme="minorHAnsi" w:cstheme="minorBidi"/>
          <w:sz w:val="22"/>
          <w:szCs w:val="22"/>
        </w:rPr>
        <w:t>Abarenkov</w:t>
      </w:r>
      <w:proofErr w:type="spellEnd"/>
      <w:r w:rsidRPr="03467758">
        <w:rPr>
          <w:rFonts w:asciiTheme="minorHAnsi" w:hAnsiTheme="minorHAnsi" w:cstheme="minorBidi"/>
          <w:sz w:val="22"/>
          <w:szCs w:val="22"/>
        </w:rPr>
        <w:t xml:space="preserve"> </w:t>
      </w:r>
      <w:r w:rsidRPr="03467758">
        <w:rPr>
          <w:rFonts w:asciiTheme="minorHAnsi" w:hAnsiTheme="minorHAnsi" w:cstheme="minorBidi"/>
          <w:i/>
          <w:iCs/>
          <w:sz w:val="22"/>
          <w:szCs w:val="22"/>
        </w:rPr>
        <w:t>et al.</w:t>
      </w:r>
      <w:r w:rsidRPr="03467758">
        <w:rPr>
          <w:rFonts w:asciiTheme="minorHAnsi" w:hAnsiTheme="minorHAnsi" w:cstheme="minorBidi"/>
          <w:sz w:val="22"/>
          <w:szCs w:val="22"/>
        </w:rPr>
        <w:t>, 2024)</w:t>
      </w:r>
      <w:r w:rsidR="57D19332" w:rsidRPr="03467758">
        <w:rPr>
          <w:rFonts w:asciiTheme="minorHAnsi" w:hAnsiTheme="minorHAnsi" w:cstheme="minorBidi"/>
          <w:sz w:val="22"/>
          <w:szCs w:val="22"/>
        </w:rPr>
        <w:fldChar w:fldCharType="end"/>
      </w:r>
      <w:r w:rsidRPr="03467758">
        <w:rPr>
          <w:rFonts w:asciiTheme="minorHAnsi" w:hAnsiTheme="minorHAnsi" w:cstheme="minorBidi"/>
          <w:sz w:val="22"/>
          <w:szCs w:val="22"/>
        </w:rPr>
        <w:t>. All ASVs that did not match bacteria or fungi at the kingdom level were removed from downstream analyses, and we also removed any matches for “</w:t>
      </w:r>
      <w:r w:rsidRPr="03467758">
        <w:rPr>
          <w:rFonts w:asciiTheme="minorHAnsi" w:hAnsiTheme="minorHAnsi" w:cstheme="minorBidi"/>
          <w:i/>
          <w:iCs/>
          <w:sz w:val="22"/>
          <w:szCs w:val="22"/>
        </w:rPr>
        <w:t>Batrachochytrium dendrobatidis</w:t>
      </w:r>
      <w:r w:rsidRPr="03467758">
        <w:rPr>
          <w:rFonts w:asciiTheme="minorHAnsi" w:hAnsiTheme="minorHAnsi" w:cstheme="minorBidi"/>
          <w:sz w:val="22"/>
          <w:szCs w:val="22"/>
        </w:rPr>
        <w:t xml:space="preserve">” at the species-level from fungal reads. After initial sequence processing, we retained 2 171 517 bacterial reads and 3 654 408 fungal reads. We conducted analyses in R using the vegan and </w:t>
      </w:r>
      <w:proofErr w:type="spellStart"/>
      <w:r w:rsidRPr="03467758">
        <w:rPr>
          <w:rFonts w:asciiTheme="minorHAnsi" w:hAnsiTheme="minorHAnsi" w:cstheme="minorBidi"/>
          <w:sz w:val="22"/>
          <w:szCs w:val="22"/>
        </w:rPr>
        <w:t>phyloseq</w:t>
      </w:r>
      <w:proofErr w:type="spellEnd"/>
      <w:r w:rsidRPr="03467758">
        <w:rPr>
          <w:rFonts w:asciiTheme="minorHAnsi" w:hAnsiTheme="minorHAnsi" w:cstheme="minorBidi"/>
          <w:sz w:val="22"/>
          <w:szCs w:val="22"/>
        </w:rPr>
        <w:t xml:space="preserve"> packages </w:t>
      </w:r>
      <w:r w:rsidR="57D19332" w:rsidRPr="03467758">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hcNao7dW","properties":{"formattedCitation":"(52,53)","plainCitation":"(52,53)","noteIndex":0},"citationItems":[{"id":"jhYPt1yk/uO2VAqYs","uris":["http://zotero.org/users/5354645/items/LSHLRFG3"],"itemData":{"id":1351,"type":"article-journal","container-title":"PloS one","issue":"4","note":"publisher: Public Library of Science San Francisco, USA","page":"e61217","title":"phyloseq: an R package for reproducible interactive analysis and graphics of microbiome census data","volume":"8","author":[{"family":"McMurdie","given":"Paul J"},{"family":"Holmes","given":"Susan"}],"issued":{"date-parts":[["2013"]]}}},{"id":"jhYPt1yk/PmcZNBzQ","uris":["http://zotero.org/users/5354645/items/L6PCCNSA"],"itemData":{"id":1349,"type":"article-journal","container-title":"Community ecology package, version","issue":"9","page":"1–295","title":"Package ‘vegan’","volume":"2","author":[{"family":"Oksanen","given":"Jari"},{"family":"Blanchet","given":"F Guillaume"},{"family":"Kindt","given":"Roeland"},{"family":"Legendre","given":"Pierre"},{"family":"Minchin","given":"Peter R"},{"family":"O’hara","given":"RB"},{"family":"Simpson","given":"Gavin L"},{"family":"Solymos","given":"Peter"},{"family":"Stevens","given":"M Henry H"},{"family":"Wagner","given":"Helene"},{"literal":"others"}],"issued":{"date-parts":[["2013"]]}}}],"schema":"https://github.com/citation-style-language/schema/raw/master/csl-citation.json"} </w:instrText>
      </w:r>
      <w:r w:rsidR="57D19332" w:rsidRPr="03467758">
        <w:rPr>
          <w:rFonts w:asciiTheme="minorHAnsi" w:hAnsiTheme="minorHAnsi" w:cstheme="minorBidi"/>
          <w:sz w:val="22"/>
          <w:szCs w:val="22"/>
        </w:rPr>
        <w:fldChar w:fldCharType="separate"/>
      </w:r>
      <w:r w:rsidR="00E865C5">
        <w:rPr>
          <w:rFonts w:asciiTheme="minorHAnsi" w:hAnsiTheme="minorHAnsi" w:cstheme="minorBidi"/>
          <w:sz w:val="22"/>
          <w:szCs w:val="22"/>
        </w:rPr>
        <w:t>(52,53)</w:t>
      </w:r>
      <w:r w:rsidR="57D19332" w:rsidRPr="03467758">
        <w:rPr>
          <w:rFonts w:asciiTheme="minorHAnsi" w:hAnsiTheme="minorHAnsi" w:cstheme="minorBidi"/>
          <w:sz w:val="22"/>
          <w:szCs w:val="22"/>
        </w:rPr>
        <w:fldChar w:fldCharType="end"/>
      </w:r>
      <w:r w:rsidRPr="03467758">
        <w:rPr>
          <w:rFonts w:asciiTheme="minorHAnsi" w:hAnsiTheme="minorHAnsi" w:cstheme="minorBidi"/>
          <w:sz w:val="22"/>
          <w:szCs w:val="22"/>
        </w:rPr>
        <w:t xml:space="preserve">. Given variation in sequencing depth among samples, we normalized raw sequence counts of bacteria and fungi via rarefaction. Bacterial samples were rarefied to a depth of 2 514 reads per sample, and fungal samples were rarefied to 1 362 reads per </w:t>
      </w:r>
      <w:r w:rsidRPr="03467758">
        <w:rPr>
          <w:rFonts w:asciiTheme="minorHAnsi" w:hAnsiTheme="minorHAnsi" w:cstheme="minorBidi"/>
          <w:sz w:val="22"/>
          <w:szCs w:val="22"/>
        </w:rPr>
        <w:lastRenderedPageBreak/>
        <w:t xml:space="preserve">sample. We selected rarefaction read count values using rarefaction curve leveling, resulting in a final count of 184 samples for bacteria, and 187 samples for fungi for analyses. We used a custom BLAST in </w:t>
      </w:r>
      <w:proofErr w:type="spellStart"/>
      <w:r w:rsidRPr="03467758">
        <w:rPr>
          <w:rFonts w:asciiTheme="minorHAnsi" w:hAnsiTheme="minorHAnsi" w:cstheme="minorBidi"/>
          <w:sz w:val="22"/>
          <w:szCs w:val="22"/>
        </w:rPr>
        <w:t>Geneious</w:t>
      </w:r>
      <w:proofErr w:type="spellEnd"/>
      <w:r w:rsidRPr="03467758">
        <w:rPr>
          <w:rFonts w:asciiTheme="minorHAnsi" w:hAnsiTheme="minorHAnsi" w:cstheme="minorBidi"/>
          <w:sz w:val="22"/>
          <w:szCs w:val="22"/>
        </w:rPr>
        <w:t xml:space="preserve"> to match our 16S bacterial reads to the anti-Bd bacterial database 2020 strict version (</w:t>
      </w:r>
      <w:hyperlink r:id="rId10">
        <w:r w:rsidRPr="03467758">
          <w:rPr>
            <w:rStyle w:val="Hyperlink"/>
            <w:rFonts w:asciiTheme="minorHAnsi" w:hAnsiTheme="minorHAnsi" w:cstheme="minorBidi"/>
            <w:sz w:val="22"/>
            <w:szCs w:val="22"/>
          </w:rPr>
          <w:t>https://github.com/AmphiBac/AmphiBac-Database</w:t>
        </w:r>
      </w:hyperlink>
      <w:r w:rsidRPr="03467758">
        <w:rPr>
          <w:rFonts w:asciiTheme="minorHAnsi" w:hAnsiTheme="minorHAnsi" w:cstheme="minorBidi"/>
          <w:sz w:val="22"/>
          <w:szCs w:val="22"/>
        </w:rPr>
        <w:t xml:space="preserve">) and defined anti-Bd bacterial ASVs as those with 100 % sequence similarity. </w:t>
      </w:r>
    </w:p>
    <w:p w14:paraId="52EB726C" w14:textId="77777777" w:rsidR="007C10E3" w:rsidRPr="00D16989" w:rsidRDefault="007C10E3" w:rsidP="007C10E3">
      <w:pPr>
        <w:tabs>
          <w:tab w:val="left" w:pos="2442"/>
        </w:tabs>
        <w:spacing w:line="480" w:lineRule="auto"/>
        <w:rPr>
          <w:rFonts w:asciiTheme="minorHAnsi" w:hAnsiTheme="minorHAnsi" w:cstheme="minorHAnsi"/>
          <w:i/>
          <w:iCs/>
          <w:sz w:val="22"/>
          <w:szCs w:val="22"/>
        </w:rPr>
      </w:pPr>
    </w:p>
    <w:p w14:paraId="2D91832F" w14:textId="77777777" w:rsidR="007C10E3" w:rsidRPr="00D16989" w:rsidRDefault="007C10E3" w:rsidP="007C10E3">
      <w:pPr>
        <w:tabs>
          <w:tab w:val="left" w:pos="2442"/>
        </w:tabs>
        <w:spacing w:line="480" w:lineRule="auto"/>
        <w:rPr>
          <w:rFonts w:asciiTheme="minorHAnsi" w:hAnsiTheme="minorHAnsi" w:cstheme="minorHAnsi"/>
          <w:b/>
          <w:bCs/>
          <w:sz w:val="22"/>
          <w:szCs w:val="22"/>
        </w:rPr>
      </w:pPr>
      <w:r w:rsidRPr="00D16989">
        <w:rPr>
          <w:rFonts w:asciiTheme="minorHAnsi" w:hAnsiTheme="minorHAnsi" w:cstheme="minorHAnsi"/>
          <w:b/>
          <w:bCs/>
          <w:sz w:val="22"/>
          <w:szCs w:val="22"/>
        </w:rPr>
        <w:t>Comparing diversity measures and anti-Bd relative abundances</w:t>
      </w:r>
    </w:p>
    <w:p w14:paraId="426275C5" w14:textId="68F9E05B" w:rsidR="007C10E3" w:rsidRPr="00D16989" w:rsidRDefault="03467758" w:rsidP="03467758">
      <w:pPr>
        <w:tabs>
          <w:tab w:val="left" w:pos="2442"/>
        </w:tabs>
        <w:spacing w:line="480" w:lineRule="auto"/>
        <w:rPr>
          <w:rFonts w:asciiTheme="minorHAnsi" w:hAnsiTheme="minorHAnsi" w:cstheme="minorBidi"/>
          <w:sz w:val="22"/>
          <w:szCs w:val="22"/>
        </w:rPr>
      </w:pPr>
      <w:r w:rsidRPr="03467758">
        <w:rPr>
          <w:rFonts w:asciiTheme="minorHAnsi" w:hAnsiTheme="minorHAnsi" w:cstheme="minorBidi"/>
          <w:sz w:val="22"/>
          <w:szCs w:val="22"/>
        </w:rPr>
        <w:t xml:space="preserve">We estimated alpha diversity (ASV richness) for bacteria and fungi using rarefied datasets. For bacteria, we also calculated the relative abundance of anti-Bd bacteria. We checked if ASV richness and anti-Bd relative abundance data were normally distributed using Shapiro tests and confirmed homogeneity of dispersion with Levene’s tests. We log10-transformed variables when necessary to achieve normal distributions. For analyses of Bd treatment 1 samples, we first combined mock-mock with mock-Bd and Bd-mock with Bd-Bd to increase sample size as the second Bd treatment had not occurred yet, equating to mock and Bd treatments, respectively. We examined differences in richness and anti-Bd bacterial relative abundance between treatments within each day using ANOVAs followed by Tukey’s HSD or Kruskal-Wallis tests followed by post-hoc Dunn’s Tests with Bonferroni correction using the FSA package </w:t>
      </w:r>
      <w:r w:rsidR="1A60A691" w:rsidRPr="03467758">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{"citationID":"Dye71bhZ","properties":{"formattedCitation":"(54)","plainCitation":"(54)","noteIndex":0},"citationItems":[{"id":"jhYPt1yk/6QWWlKwL","uris":["http://zotero.org/users/5354645/items/TGFAC989"],"itemData":{"id":3328,"type":"book","title":"FSA: Simple Fisheries Stock Assessment Methods","URL":"https://CRAN.R-project.org/package=FSA","author":[{"family":"Ogle","given":"Derek H."},{"family":"Doll","given":"Jason C."},{"family":"Wheeler","given":"A. Powell"},{"family":"Dinno","given":"Alexis"}],"issued":{"date-parts":[["2023"]]}}}],"schema":"https://github.com/citation-style-language/schema/raw/master/csl-citation.json"} </w:instrText>
      </w:r>
      <w:r w:rsidR="1A60A691" w:rsidRPr="03467758">
        <w:rPr>
          <w:rFonts w:asciiTheme="minorHAnsi" w:hAnsiTheme="minorHAnsi" w:cstheme="minorBidi"/>
          <w:sz w:val="22"/>
          <w:szCs w:val="22"/>
        </w:rPr>
        <w:fldChar w:fldCharType="separate"/>
      </w:r>
      <w:r w:rsidR="00E865C5">
        <w:rPr>
          <w:rFonts w:asciiTheme="minorHAnsi" w:hAnsiTheme="minorHAnsi" w:cstheme="minorBidi"/>
          <w:sz w:val="22"/>
          <w:szCs w:val="22"/>
        </w:rPr>
        <w:t>(54)</w:t>
      </w:r>
      <w:r w:rsidR="1A60A691" w:rsidRPr="03467758">
        <w:rPr>
          <w:rFonts w:asciiTheme="minorHAnsi" w:hAnsiTheme="minorHAnsi" w:cstheme="minorBidi"/>
          <w:sz w:val="22"/>
          <w:szCs w:val="22"/>
        </w:rPr>
        <w:fldChar w:fldCharType="end"/>
      </w:r>
      <w:r w:rsidRPr="03467758">
        <w:rPr>
          <w:rFonts w:asciiTheme="minorHAnsi" w:hAnsiTheme="minorHAnsi" w:cstheme="minorBidi"/>
          <w:sz w:val="22"/>
          <w:szCs w:val="22"/>
        </w:rPr>
        <w:t>, depending on normality. For analyses of Bd treatment 2 samples, we examined differences in richness</w:t>
      </w:r>
      <w:r w:rsidR="00702F1F">
        <w:rPr>
          <w:rFonts w:asciiTheme="minorHAnsi" w:hAnsiTheme="minorHAnsi" w:cstheme="minorBidi"/>
          <w:sz w:val="22"/>
          <w:szCs w:val="22"/>
        </w:rPr>
        <w:t>,</w:t>
      </w:r>
      <w:r w:rsidR="006F4BA4">
        <w:rPr>
          <w:rFonts w:asciiTheme="minorHAnsi" w:hAnsiTheme="minorHAnsi" w:cstheme="minorBidi"/>
          <w:sz w:val="22"/>
          <w:szCs w:val="22"/>
        </w:rPr>
        <w:t xml:space="preserve"> composition and</w:t>
      </w:r>
      <w:r w:rsidRPr="03467758">
        <w:rPr>
          <w:rFonts w:asciiTheme="minorHAnsi" w:hAnsiTheme="minorHAnsi" w:cstheme="minorBidi"/>
          <w:sz w:val="22"/>
          <w:szCs w:val="22"/>
        </w:rPr>
        <w:t xml:space="preserve"> anti-Bd bacterial relative abundance among treatment groups using linear mixed-models (LMMs) in the package lme4 </w:t>
      </w:r>
      <w:r w:rsidR="1A60A691" w:rsidRPr="03467758">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{"citationID":"kvAgVO36","properties":{"formattedCitation":"(55)","plainCitation":"(55)","noteIndex":0},"citationItems":[{"id":"jhYPt1yk/PalS2Odt","uris":["http://zotero.org/users/5354645/items/PKK2DAS7"],"itemData":{"id":662,"type":"article-journal","container-title":"Journal of Statistical Software","DOI":"10.18637/jss.v067.i01","issue":"1","page":"1–48","title":"Fitting Linear Mixed-Effects Models Using lme4","volume":"67","author":[{"family":"Bates","given":"Douglas"},{"family":"Mächler","given":"Martin"},{"family":"Bolker","given":"Ben"},{"family":"Walker","given":"Steve"}],"issued":{"date-parts":[["2015"]]}}}],"schema":"https://github.com/citation-style-language/schema/raw/master/csl-citation.json"} </w:instrText>
      </w:r>
      <w:r w:rsidR="1A60A691" w:rsidRPr="03467758">
        <w:rPr>
          <w:rFonts w:asciiTheme="minorHAnsi" w:hAnsiTheme="minorHAnsi" w:cstheme="minorBidi"/>
          <w:sz w:val="22"/>
          <w:szCs w:val="22"/>
        </w:rPr>
        <w:fldChar w:fldCharType="separate"/>
      </w:r>
      <w:r w:rsidR="00E865C5">
        <w:rPr>
          <w:rFonts w:asciiTheme="minorHAnsi" w:hAnsiTheme="minorHAnsi" w:cstheme="minorBidi"/>
          <w:sz w:val="22"/>
          <w:szCs w:val="22"/>
        </w:rPr>
        <w:t>(55)</w:t>
      </w:r>
      <w:r w:rsidR="1A60A691" w:rsidRPr="03467758">
        <w:rPr>
          <w:rFonts w:asciiTheme="minorHAnsi" w:hAnsiTheme="minorHAnsi" w:cstheme="minorBidi"/>
          <w:sz w:val="22"/>
          <w:szCs w:val="22"/>
        </w:rPr>
        <w:fldChar w:fldCharType="end"/>
      </w:r>
      <w:r w:rsidRPr="03467758">
        <w:rPr>
          <w:rFonts w:asciiTheme="minorHAnsi" w:hAnsiTheme="minorHAnsi" w:cstheme="minorBidi"/>
          <w:sz w:val="22"/>
          <w:szCs w:val="22"/>
        </w:rPr>
        <w:t xml:space="preserve">. Models included treatment group (5 treatments; Fig 1), experiment day (day 14 and day 29) and their interaction as fixed effects, and individual frog ID as a random effect to avoid </w:t>
      </w:r>
      <w:proofErr w:type="spellStart"/>
      <w:r w:rsidRPr="03467758">
        <w:rPr>
          <w:rFonts w:asciiTheme="minorHAnsi" w:hAnsiTheme="minorHAnsi" w:cstheme="minorBidi"/>
          <w:sz w:val="22"/>
          <w:szCs w:val="22"/>
        </w:rPr>
        <w:t>pseudoreplication</w:t>
      </w:r>
      <w:proofErr w:type="spellEnd"/>
      <w:r w:rsidRPr="03467758">
        <w:rPr>
          <w:rFonts w:asciiTheme="minorHAnsi" w:hAnsiTheme="minorHAnsi" w:cstheme="minorBidi"/>
          <w:sz w:val="22"/>
          <w:szCs w:val="22"/>
        </w:rPr>
        <w:t xml:space="preserve">. We evaluated model fits by comparing fitted model and predicted residuals, and visually inspecting residual </w:t>
      </w:r>
      <w:proofErr w:type="spellStart"/>
      <w:r w:rsidRPr="03467758">
        <w:rPr>
          <w:rFonts w:asciiTheme="minorHAnsi" w:hAnsiTheme="minorHAnsi" w:cstheme="minorBidi"/>
          <w:sz w:val="22"/>
          <w:szCs w:val="22"/>
        </w:rPr>
        <w:t>qqplots</w:t>
      </w:r>
      <w:proofErr w:type="spellEnd"/>
      <w:r w:rsidRPr="03467758">
        <w:rPr>
          <w:rFonts w:asciiTheme="minorHAnsi" w:hAnsiTheme="minorHAnsi" w:cstheme="minorBidi"/>
          <w:sz w:val="22"/>
          <w:szCs w:val="22"/>
        </w:rPr>
        <w:t xml:space="preserve"> using the </w:t>
      </w:r>
      <w:proofErr w:type="spellStart"/>
      <w:r w:rsidRPr="03467758">
        <w:rPr>
          <w:rFonts w:asciiTheme="minorHAnsi" w:hAnsiTheme="minorHAnsi" w:cstheme="minorBidi"/>
          <w:sz w:val="22"/>
          <w:szCs w:val="22"/>
        </w:rPr>
        <w:t>DHARMa</w:t>
      </w:r>
      <w:proofErr w:type="spellEnd"/>
      <w:r w:rsidRPr="03467758">
        <w:rPr>
          <w:rFonts w:asciiTheme="minorHAnsi" w:hAnsiTheme="minorHAnsi" w:cstheme="minorBidi"/>
          <w:sz w:val="22"/>
          <w:szCs w:val="22"/>
        </w:rPr>
        <w:t xml:space="preserve"> package. We conducted post-hoc pairwise tests of significant explanatory variables </w:t>
      </w:r>
      <w:r w:rsidR="000D029D">
        <w:rPr>
          <w:rFonts w:asciiTheme="minorHAnsi" w:hAnsiTheme="minorHAnsi" w:cstheme="minorBidi"/>
          <w:sz w:val="22"/>
          <w:szCs w:val="22"/>
        </w:rPr>
        <w:t xml:space="preserve">with estimated marginal means </w:t>
      </w:r>
      <w:r w:rsidR="006420A6">
        <w:rPr>
          <w:rFonts w:asciiTheme="minorHAnsi" w:hAnsiTheme="minorHAnsi" w:cstheme="minorBidi"/>
          <w:sz w:val="22"/>
          <w:szCs w:val="22"/>
        </w:rPr>
        <w:t xml:space="preserve">(EMMs) </w:t>
      </w:r>
      <w:r w:rsidRPr="03467758">
        <w:rPr>
          <w:rFonts w:asciiTheme="minorHAnsi" w:hAnsiTheme="minorHAnsi" w:cstheme="minorBidi"/>
          <w:sz w:val="22"/>
          <w:szCs w:val="22"/>
        </w:rPr>
        <w:t xml:space="preserve">using the </w:t>
      </w:r>
      <w:proofErr w:type="spellStart"/>
      <w:r w:rsidRPr="03467758">
        <w:rPr>
          <w:rFonts w:asciiTheme="minorHAnsi" w:hAnsiTheme="minorHAnsi" w:cstheme="minorBidi"/>
          <w:sz w:val="22"/>
          <w:szCs w:val="22"/>
        </w:rPr>
        <w:t>emmeans</w:t>
      </w:r>
      <w:proofErr w:type="spellEnd"/>
      <w:r w:rsidRPr="03467758">
        <w:rPr>
          <w:rFonts w:asciiTheme="minorHAnsi" w:hAnsiTheme="minorHAnsi" w:cstheme="minorBidi"/>
          <w:sz w:val="22"/>
          <w:szCs w:val="22"/>
        </w:rPr>
        <w:t xml:space="preserve"> package with Bonferroni corrections </w:t>
      </w:r>
      <w:r w:rsidR="1A60A691" w:rsidRPr="03467758">
        <w:rPr>
          <w:rFonts w:asciiTheme="minorHAnsi" w:hAnsiTheme="minorHAnsi" w:cstheme="minorBidi"/>
          <w:sz w:val="22"/>
          <w:szCs w:val="22"/>
        </w:rPr>
        <w:fldChar w:fldCharType="begin"/>
      </w:r>
      <w:r w:rsidR="00E865C5">
        <w:rPr>
          <w:rFonts w:asciiTheme="minorHAnsi" w:hAnsiTheme="minorHAnsi" w:cstheme="minorBidi"/>
          <w:sz w:val="22"/>
          <w:szCs w:val="22"/>
        </w:rPr>
        <w:instrText xml:space="preserve"> ADDIN ZOTERO_ITEM CSL_CITATION {"citationID":"Ds0Zziid","properties":{"formattedCitation":"(56)","plainCitation":"(56)","noteIndex":0},"citationItems":[{"id":18615,"uris":["http://zotero.org/groups/6008588/items/2V256VFJ"],"itemData":{"id":18615,"type":"article-journal","abstract":"Least-squares means are predictions from a linear model, or averages thereof. They are useful in the analysis of experimental data for summarizing the eﬀects of factors, and for testing linear contrasts among predictions. The lsmeans package (Lenth 2016) provides a simple way of obtaining least-squares means and contrasts thereof. It supports many models ﬁtted by R (R Core Team 2015) core packages (as well as a few key contributed ones) that ﬁt linear or mixed models, and provides a simple way of extending it to cover more model classes.","container-title":"Journal of Statistical Software","DOI":"10.18637/jss.v069.i01","ISSN":"1548-7660","issue":"1","journalAbbreviation":"J. Stat. Soft.","language":"en","source":"DOI.org (Crossref)","title":"Least-Squares Means: The &lt;i&gt;R&lt;/i&gt; Package &lt;b&gt;lsmeans&lt;/b&gt;","title-short":"Least-Squares Means","URL":"http://www.jstatsoft.org/v69/i01/","volume":"69","author":[{"family":"Lenth","given":"Russell V."}],"accessed":{"date-parts":[["2025",5,30]]},"issued":{"date-parts":[["2016"]]}}}],"schema":"https://github.com/citation-style-language/schema/raw/master/csl-citation.json"} </w:instrText>
      </w:r>
      <w:r w:rsidR="1A60A691" w:rsidRPr="03467758">
        <w:rPr>
          <w:rFonts w:asciiTheme="minorHAnsi" w:hAnsiTheme="minorHAnsi" w:cstheme="minorBidi"/>
          <w:sz w:val="22"/>
          <w:szCs w:val="22"/>
        </w:rPr>
        <w:fldChar w:fldCharType="separate"/>
      </w:r>
      <w:r w:rsidR="00E865C5">
        <w:rPr>
          <w:rFonts w:asciiTheme="minorHAnsi" w:hAnsiTheme="minorHAnsi" w:cstheme="minorBidi"/>
          <w:noProof/>
          <w:sz w:val="22"/>
          <w:szCs w:val="22"/>
        </w:rPr>
        <w:t>(56)</w:t>
      </w:r>
      <w:r w:rsidR="1A60A691" w:rsidRPr="03467758">
        <w:rPr>
          <w:rFonts w:asciiTheme="minorHAnsi" w:hAnsiTheme="minorHAnsi" w:cstheme="minorBidi"/>
          <w:sz w:val="22"/>
          <w:szCs w:val="22"/>
        </w:rPr>
        <w:fldChar w:fldCharType="end"/>
      </w:r>
      <w:r w:rsidRPr="03467758">
        <w:rPr>
          <w:rFonts w:asciiTheme="minorHAnsi" w:hAnsiTheme="minorHAnsi" w:cstheme="minorBidi"/>
          <w:sz w:val="22"/>
          <w:szCs w:val="22"/>
        </w:rPr>
        <w:t>.</w:t>
      </w:r>
    </w:p>
    <w:p w14:paraId="564CDC49" w14:textId="77777777" w:rsidR="007C10E3" w:rsidRPr="00D16989" w:rsidRDefault="007C10E3" w:rsidP="007C10E3">
      <w:pPr>
        <w:tabs>
          <w:tab w:val="left" w:pos="2442"/>
        </w:tabs>
        <w:spacing w:line="480" w:lineRule="auto"/>
        <w:rPr>
          <w:rFonts w:asciiTheme="minorHAnsi" w:hAnsiTheme="minorHAnsi" w:cstheme="minorHAnsi"/>
          <w:sz w:val="22"/>
          <w:szCs w:val="22"/>
        </w:rPr>
      </w:pPr>
    </w:p>
    <w:p w14:paraId="5DABAE91" w14:textId="3F82DC1F" w:rsidR="007C10E3" w:rsidRPr="00D16989" w:rsidRDefault="0C594514" w:rsidP="0C594514">
      <w:pPr>
        <w:tabs>
          <w:tab w:val="left" w:pos="2442"/>
        </w:tabs>
        <w:spacing w:line="480" w:lineRule="auto"/>
        <w:rPr>
          <w:rFonts w:asciiTheme="minorHAnsi" w:hAnsiTheme="minorHAnsi" w:cstheme="minorBidi"/>
          <w:sz w:val="22"/>
          <w:szCs w:val="22"/>
        </w:rPr>
      </w:pPr>
      <w:r w:rsidRPr="0C594514">
        <w:rPr>
          <w:rFonts w:asciiTheme="minorHAnsi" w:hAnsiTheme="minorHAnsi" w:cstheme="minorBidi"/>
          <w:sz w:val="22"/>
          <w:szCs w:val="22"/>
        </w:rPr>
        <w:t xml:space="preserve">We estimated beta diversity (Jaccard and Bray-Curtis) for bacteria and fungi using rarefied datasets. Jaccard results were </w:t>
      </w:r>
      <w:proofErr w:type="gramStart"/>
      <w:r w:rsidRPr="0C594514">
        <w:rPr>
          <w:rFonts w:asciiTheme="minorHAnsi" w:hAnsiTheme="minorHAnsi" w:cstheme="minorBidi"/>
          <w:sz w:val="22"/>
          <w:szCs w:val="22"/>
        </w:rPr>
        <w:t>similar to</w:t>
      </w:r>
      <w:proofErr w:type="gramEnd"/>
      <w:r w:rsidRPr="0C594514">
        <w:rPr>
          <w:rFonts w:asciiTheme="minorHAnsi" w:hAnsiTheme="minorHAnsi" w:cstheme="minorBidi"/>
          <w:sz w:val="22"/>
          <w:szCs w:val="22"/>
        </w:rPr>
        <w:t xml:space="preserve"> Bray-Curtis; Bray-Curtis statistical outputs are reported herein. We then used Principal Coordinate Analyses of Bray-Curtis distances to visualize clustering of bacterial and fungal compositions. To examine differences in beta diversity, we used the “adonis” function in the vegan package </w:t>
      </w:r>
      <w:r w:rsidR="009357CD" w:rsidRPr="0C594514">
        <w:rPr>
          <w:rFonts w:asciiTheme="minorHAnsi" w:hAnsiTheme="minorHAnsi" w:cstheme="minorBidi"/>
          <w:sz w:val="22"/>
          <w:szCs w:val="22"/>
        </w:rPr>
        <w:fldChar w:fldCharType="begin"/>
      </w:r>
      <w:r w:rsidR="009357CD" w:rsidRPr="0C594514">
        <w:rPr>
          <w:rFonts w:asciiTheme="minorHAnsi" w:hAnsiTheme="minorHAnsi" w:cstheme="minorBidi"/>
          <w:sz w:val="22"/>
          <w:szCs w:val="22"/>
        </w:rPr>
        <w:instrText xml:space="preserve"> ADDIN ZOTERO_ITEM CSL_CITATION {"citationID":"Q5009DKT","properties":{"formattedCitation":"(53)","plainCitation":"(53)","noteIndex":0},"citationItems":[{"id":"jhYPt1yk/PmcZNBzQ","uris":["http://zotero.org/users/5354645/items/L6PCCNSA"],"itemData":{"id":1349,"type":"article-journal","container-title":"Community ecology package, version","issue":"9","page":"1–295","title":"Package ‘vegan’","volume":"2","author":[{"family":"Oksanen","given":"Jari"},{"family":"Blanchet","given":"F Guillaume"},{"family":"Kindt","given":"Roeland"},{"family":"Legendre","given":"Pierre"},{"family":"Minchin","given":"Peter R"},{"family":"O’hara","given":"RB"},{"family":"Simpson","given":"Gavin L"},{"family":"Solymos","given":"Peter"},{"family":"Stevens","given":"M Henry H"},{"family":"Wagner","given":"Helene"},{"literal":"others"}],"issued":{"date-parts":[["2013"]]}}}],"schema":"https://github.com/citation-style-language/schema/raw/master/csl-citation.json"} </w:instrText>
      </w:r>
      <w:r w:rsidR="009357CD" w:rsidRPr="0C594514">
        <w:rPr>
          <w:rFonts w:asciiTheme="minorHAnsi" w:hAnsiTheme="minorHAnsi" w:cstheme="minorBidi"/>
          <w:sz w:val="22"/>
          <w:szCs w:val="22"/>
        </w:rPr>
        <w:fldChar w:fldCharType="separate"/>
      </w:r>
      <w:r w:rsidRPr="0C594514">
        <w:rPr>
          <w:rFonts w:asciiTheme="minorHAnsi" w:hAnsiTheme="minorHAnsi" w:cstheme="minorBidi"/>
          <w:sz w:val="22"/>
          <w:szCs w:val="22"/>
        </w:rPr>
        <w:t>(53)</w:t>
      </w:r>
      <w:r w:rsidR="009357CD" w:rsidRPr="0C594514">
        <w:rPr>
          <w:rFonts w:asciiTheme="minorHAnsi" w:hAnsiTheme="minorHAnsi" w:cstheme="minorBidi"/>
          <w:sz w:val="22"/>
          <w:szCs w:val="22"/>
        </w:rPr>
        <w:fldChar w:fldCharType="end"/>
      </w:r>
      <w:r w:rsidRPr="0C594514">
        <w:rPr>
          <w:rFonts w:asciiTheme="minorHAnsi" w:hAnsiTheme="minorHAnsi" w:cstheme="minorBidi"/>
          <w:sz w:val="22"/>
          <w:szCs w:val="22"/>
        </w:rPr>
        <w:t xml:space="preserve"> to generate PERMANOVAs input with distance matrices. PERMANOVAs included the same explanatory variables previously mentioned: treatment group, experiment day, and we used blocks to account for individual frog ID as a random effect. We performed pairwise comparisons of significant PERMANOVAs using the pairwiseAdonis package </w:t>
      </w:r>
      <w:r w:rsidR="009357CD" w:rsidRPr="0C594514">
        <w:rPr>
          <w:rFonts w:asciiTheme="minorHAnsi" w:hAnsiTheme="minorHAnsi" w:cstheme="minorBidi"/>
          <w:sz w:val="22"/>
          <w:szCs w:val="22"/>
        </w:rPr>
        <w:fldChar w:fldCharType="begin"/>
      </w:r>
      <w:r w:rsidR="009357CD" w:rsidRPr="0C594514">
        <w:rPr>
          <w:rFonts w:asciiTheme="minorHAnsi" w:hAnsiTheme="minorHAnsi" w:cstheme="minorBidi"/>
          <w:sz w:val="22"/>
          <w:szCs w:val="22"/>
        </w:rPr>
        <w:instrText xml:space="preserve"> ADDIN ZOTERO_ITEM CSL_CITATION {"citationID":"pJORjPY3","properties":{"formattedCitation":"(57)","plainCitation":"(57)","noteIndex":0},"citationItems":[{"id":"jhYPt1yk/CneFcySc","uris":["http://zotero.org/users/5354645/items/VM8FP8WS"],"itemData":{"id":3330,"type":"article-journal","container-title":"R package version 0.4","title":"pairwiseAdonis: Pairwise multilevel comparison using adonis","volume":"1","author":[{"family":"Martinez Arbizu","given":"Pedro"}],"issued":{"date-parts":[["2020"]]}}}],"schema":"https://github.com/citation-style-language/schema/raw/master/csl-citation.json"} </w:instrText>
      </w:r>
      <w:r w:rsidR="009357CD" w:rsidRPr="0C594514">
        <w:rPr>
          <w:rFonts w:asciiTheme="minorHAnsi" w:hAnsiTheme="minorHAnsi" w:cstheme="minorBidi"/>
          <w:sz w:val="22"/>
          <w:szCs w:val="22"/>
        </w:rPr>
        <w:fldChar w:fldCharType="separate"/>
      </w:r>
      <w:r w:rsidRPr="0C594514">
        <w:rPr>
          <w:rFonts w:asciiTheme="minorHAnsi" w:hAnsiTheme="minorHAnsi" w:cstheme="minorBidi"/>
          <w:sz w:val="22"/>
          <w:szCs w:val="22"/>
        </w:rPr>
        <w:t>(57)</w:t>
      </w:r>
      <w:r w:rsidR="009357CD" w:rsidRPr="0C594514">
        <w:rPr>
          <w:rFonts w:asciiTheme="minorHAnsi" w:hAnsiTheme="minorHAnsi" w:cstheme="minorBidi"/>
          <w:sz w:val="22"/>
          <w:szCs w:val="22"/>
        </w:rPr>
        <w:fldChar w:fldCharType="end"/>
      </w:r>
      <w:r w:rsidRPr="0C594514">
        <w:rPr>
          <w:rFonts w:asciiTheme="minorHAnsi" w:hAnsiTheme="minorHAnsi" w:cstheme="minorBidi"/>
          <w:sz w:val="22"/>
          <w:szCs w:val="22"/>
        </w:rPr>
        <w:t xml:space="preserve"> with Bonferroni adjusted p-values. For a subset of frogs that were sampled over the entire </w:t>
      </w:r>
      <w:proofErr w:type="gramStart"/>
      <w:r w:rsidRPr="0C594514">
        <w:rPr>
          <w:rFonts w:asciiTheme="minorHAnsi" w:hAnsiTheme="minorHAnsi" w:cstheme="minorBidi"/>
          <w:sz w:val="22"/>
          <w:szCs w:val="22"/>
        </w:rPr>
        <w:t>200 day</w:t>
      </w:r>
      <w:proofErr w:type="gramEnd"/>
      <w:r w:rsidRPr="0C594514">
        <w:rPr>
          <w:rFonts w:asciiTheme="minorHAnsi" w:hAnsiTheme="minorHAnsi" w:cstheme="minorBidi"/>
          <w:sz w:val="22"/>
          <w:szCs w:val="22"/>
        </w:rPr>
        <w:t xml:space="preserve"> experiment in the mock-mock and untreated treatment groups, we examined the effect of experiment day (five time points) using PERMANOVAs with individual frog ID as a random effect.</w:t>
      </w:r>
    </w:p>
    <w:p w14:paraId="1E54C68C" w14:textId="77777777" w:rsidR="007C10E3" w:rsidRPr="00D16989" w:rsidRDefault="007C10E3" w:rsidP="007C10E3">
      <w:pPr>
        <w:tabs>
          <w:tab w:val="left" w:pos="2442"/>
        </w:tabs>
        <w:spacing w:line="480" w:lineRule="auto"/>
        <w:rPr>
          <w:rFonts w:asciiTheme="minorHAnsi" w:hAnsiTheme="minorHAnsi" w:cstheme="minorHAnsi"/>
          <w:sz w:val="22"/>
          <w:szCs w:val="22"/>
        </w:rPr>
      </w:pPr>
      <w:r w:rsidRPr="00D16989">
        <w:rPr>
          <w:rFonts w:asciiTheme="minorHAnsi" w:hAnsiTheme="minorHAnsi" w:cstheme="minorHAnsi"/>
          <w:sz w:val="22"/>
          <w:szCs w:val="22"/>
        </w:rPr>
        <w:t xml:space="preserve"> </w:t>
      </w:r>
    </w:p>
    <w:p w14:paraId="3551A27B" w14:textId="77777777" w:rsidR="007C10E3" w:rsidRPr="00D16989" w:rsidRDefault="007C10E3" w:rsidP="007C10E3">
      <w:pPr>
        <w:tabs>
          <w:tab w:val="left" w:pos="2442"/>
        </w:tabs>
        <w:spacing w:line="480" w:lineRule="auto"/>
        <w:rPr>
          <w:rFonts w:asciiTheme="minorHAnsi" w:hAnsiTheme="minorHAnsi" w:cstheme="minorHAnsi"/>
          <w:b/>
          <w:bCs/>
          <w:sz w:val="22"/>
          <w:szCs w:val="22"/>
        </w:rPr>
      </w:pPr>
      <w:r w:rsidRPr="00D16989">
        <w:rPr>
          <w:rFonts w:asciiTheme="minorHAnsi" w:hAnsiTheme="minorHAnsi" w:cstheme="minorHAnsi"/>
          <w:b/>
          <w:bCs/>
          <w:sz w:val="22"/>
          <w:szCs w:val="22"/>
        </w:rPr>
        <w:t>Relationships between Bd-inhibitory bacteria and microbial richness to severity of Bd infection.</w:t>
      </w:r>
    </w:p>
    <w:p w14:paraId="17D31650" w14:textId="2B2D5F17" w:rsidR="007C10E3" w:rsidRPr="00D16989" w:rsidRDefault="007C10E3" w:rsidP="007C10E3">
      <w:pPr>
        <w:tabs>
          <w:tab w:val="left" w:pos="2442"/>
        </w:tabs>
        <w:spacing w:line="480" w:lineRule="auto"/>
        <w:rPr>
          <w:rFonts w:asciiTheme="minorHAnsi" w:hAnsiTheme="minorHAnsi" w:cstheme="minorHAnsi"/>
          <w:sz w:val="22"/>
          <w:szCs w:val="22"/>
        </w:rPr>
      </w:pPr>
      <w:r w:rsidRPr="00D16989">
        <w:rPr>
          <w:rFonts w:asciiTheme="minorHAnsi" w:hAnsiTheme="minorHAnsi" w:cstheme="minorHAnsi"/>
          <w:sz w:val="22"/>
          <w:szCs w:val="22"/>
        </w:rPr>
        <w:t xml:space="preserve">To examine the effects of microbial diversity, function, and treatment on Bd infection, we used linear models (LM) with Bd load as the response variable and included the relative abundance of anti-Bd bacteria and diversity measures as fixed effects. We evaluated model fits by comparing fitted model and predicted residuals, and visually inspecting residual </w:t>
      </w:r>
      <w:proofErr w:type="spellStart"/>
      <w:r w:rsidRPr="00D16989">
        <w:rPr>
          <w:rFonts w:asciiTheme="minorHAnsi" w:hAnsiTheme="minorHAnsi" w:cstheme="minorHAnsi"/>
          <w:sz w:val="22"/>
          <w:szCs w:val="22"/>
        </w:rPr>
        <w:t>qqplots</w:t>
      </w:r>
      <w:proofErr w:type="spellEnd"/>
      <w:r w:rsidRPr="00D16989">
        <w:rPr>
          <w:rFonts w:asciiTheme="minorHAnsi" w:hAnsiTheme="minorHAnsi" w:cstheme="minorHAnsi"/>
          <w:sz w:val="22"/>
          <w:szCs w:val="22"/>
        </w:rPr>
        <w:t xml:space="preserve"> using the </w:t>
      </w:r>
      <w:proofErr w:type="spellStart"/>
      <w:r w:rsidRPr="00D16989">
        <w:rPr>
          <w:rFonts w:asciiTheme="minorHAnsi" w:hAnsiTheme="minorHAnsi" w:cstheme="minorHAnsi"/>
          <w:sz w:val="22"/>
          <w:szCs w:val="22"/>
        </w:rPr>
        <w:t>DHARMa</w:t>
      </w:r>
      <w:proofErr w:type="spellEnd"/>
      <w:r w:rsidRPr="00D16989">
        <w:rPr>
          <w:rFonts w:asciiTheme="minorHAnsi" w:hAnsiTheme="minorHAnsi" w:cstheme="minorHAnsi"/>
          <w:sz w:val="22"/>
          <w:szCs w:val="22"/>
        </w:rPr>
        <w:t xml:space="preserve"> package. These models only included treatment groups exposed to Bd and with Bd loads greater than zero. We performed post-hoc pairwise comparisons with a Bonferroni adjustment to compare treatment and infection timepoints using the package </w:t>
      </w:r>
      <w:proofErr w:type="spellStart"/>
      <w:r w:rsidRPr="00D16989">
        <w:rPr>
          <w:rFonts w:asciiTheme="minorHAnsi" w:hAnsiTheme="minorHAnsi" w:cstheme="minorHAnsi"/>
          <w:sz w:val="22"/>
          <w:szCs w:val="22"/>
        </w:rPr>
        <w:t>emmeans</w:t>
      </w:r>
      <w:proofErr w:type="spellEnd"/>
      <w:r w:rsidRPr="00D16989">
        <w:rPr>
          <w:rFonts w:asciiTheme="minorHAnsi" w:hAnsiTheme="minorHAnsi" w:cstheme="minorHAnsi"/>
          <w:sz w:val="22"/>
          <w:szCs w:val="22"/>
        </w:rPr>
        <w:t xml:space="preserve"> </w:t>
      </w:r>
      <w:r w:rsidR="003E40EC">
        <w:rPr>
          <w:rFonts w:asciiTheme="minorHAnsi" w:hAnsiTheme="minorHAnsi" w:cstheme="minorHAnsi"/>
          <w:sz w:val="22"/>
          <w:szCs w:val="22"/>
        </w:rPr>
        <w:fldChar w:fldCharType="begin"/>
      </w:r>
      <w:r w:rsidR="00E865C5">
        <w:rPr>
          <w:rFonts w:asciiTheme="minorHAnsi" w:hAnsiTheme="minorHAnsi" w:cstheme="minorHAnsi"/>
          <w:sz w:val="22"/>
          <w:szCs w:val="22"/>
        </w:rPr>
        <w:instrText xml:space="preserve"> ADDIN ZOTERO_ITEM CSL_CITATION {"citationID":"3sytD5Iz","properties":{"formattedCitation":"(56)","plainCitation":"(56)","noteIndex":0},"citationItems":[{"id":18615,"uris":["http://zotero.org/groups/6008588/items/2V256VFJ"],"itemData":{"id":18615,"type":"article-journal","abstract":"Least-squares means are predictions from a linear model, or averages thereof. They are useful in the analysis of experimental data for summarizing the eﬀects of factors, and for testing linear contrasts among predictions. The lsmeans package (Lenth 2016) provides a simple way of obtaining least-squares means and contrasts thereof. It supports many models ﬁtted by R (R Core Team 2015) core packages (as well as a few key contributed ones) that ﬁt linear or mixed models, and provides a simple way of extending it to cover more model classes.","container-title":"Journal of Statistical Software","DOI":"10.18637/jss.v069.i01","ISSN":"1548-7660","issue":"1","journalAbbreviation":"J. Stat. Soft.","language":"en","source":"DOI.org (Crossref)","title":"Least-Squares Means: The &lt;i&gt;R&lt;/i&gt; Package &lt;b&gt;lsmeans&lt;/b&gt;","title-short":"Least-Squares Means","URL":"http://www.jstatsoft.org/v69/i01/","volume":"69","author":[{"family":"Lenth","given":"Russell V."}],"accessed":{"date-parts":[["2025",5,30]]},"issued":{"date-parts":[["2016"]]}}}],"schema":"https://github.com/citation-style-language/schema/raw/master/csl-citation.json"} </w:instrText>
      </w:r>
      <w:r w:rsidR="003E40EC">
        <w:rPr>
          <w:rFonts w:asciiTheme="minorHAnsi" w:hAnsiTheme="minorHAnsi" w:cstheme="minorHAnsi"/>
          <w:sz w:val="22"/>
          <w:szCs w:val="22"/>
        </w:rPr>
        <w:fldChar w:fldCharType="separate"/>
      </w:r>
      <w:r w:rsidR="00E865C5">
        <w:rPr>
          <w:rFonts w:asciiTheme="minorHAnsi" w:hAnsiTheme="minorHAnsi" w:cstheme="minorHAnsi"/>
          <w:noProof/>
          <w:sz w:val="22"/>
          <w:szCs w:val="22"/>
        </w:rPr>
        <w:t>(56)</w:t>
      </w:r>
      <w:r w:rsidR="003E40EC">
        <w:rPr>
          <w:rFonts w:asciiTheme="minorHAnsi" w:hAnsiTheme="minorHAnsi" w:cstheme="minorHAnsi"/>
          <w:sz w:val="22"/>
          <w:szCs w:val="22"/>
        </w:rPr>
        <w:fldChar w:fldCharType="end"/>
      </w:r>
      <w:r w:rsidR="003E40EC">
        <w:rPr>
          <w:rFonts w:asciiTheme="minorHAnsi" w:hAnsiTheme="minorHAnsi" w:cstheme="minorHAnsi"/>
          <w:sz w:val="22"/>
          <w:szCs w:val="22"/>
        </w:rPr>
        <w:t xml:space="preserve">. </w:t>
      </w:r>
      <w:r w:rsidRPr="00D16989">
        <w:rPr>
          <w:rFonts w:asciiTheme="minorHAnsi" w:hAnsiTheme="minorHAnsi" w:cstheme="minorHAnsi"/>
          <w:sz w:val="22"/>
          <w:szCs w:val="22"/>
        </w:rPr>
        <w:t>For all analyses, we considered a p-value of &lt; 0.05 as statistically significant.</w:t>
      </w:r>
    </w:p>
    <w:p w14:paraId="0BF34B11" w14:textId="47F971BA" w:rsidR="008516D8" w:rsidRDefault="008516D8" w:rsidP="03467758">
      <w:pPr>
        <w:spacing w:line="480" w:lineRule="auto"/>
        <w:rPr>
          <w:rFonts w:asciiTheme="minorHAnsi" w:hAnsiTheme="minorHAnsi" w:cstheme="minorBidi"/>
          <w:color w:val="000000" w:themeColor="text1"/>
          <w:sz w:val="22"/>
          <w:szCs w:val="22"/>
        </w:rPr>
      </w:pPr>
    </w:p>
    <w:p w14:paraId="6377C839" w14:textId="4859C627" w:rsidR="0022619C" w:rsidRDefault="0022619C" w:rsidP="20F3762E">
      <w:pPr>
        <w:spacing w:line="480" w:lineRule="auto"/>
        <w:rPr>
          <w:rFonts w:asciiTheme="minorHAnsi" w:hAnsiTheme="minorHAnsi" w:cstheme="minorHAnsi"/>
          <w:b/>
          <w:bCs/>
          <w:sz w:val="22"/>
          <w:szCs w:val="22"/>
        </w:rPr>
      </w:pPr>
      <w:r>
        <w:rPr>
          <w:rFonts w:asciiTheme="minorHAnsi" w:hAnsiTheme="minorHAnsi" w:cstheme="minorHAnsi"/>
          <w:b/>
          <w:bCs/>
          <w:sz w:val="22"/>
          <w:szCs w:val="22"/>
        </w:rPr>
        <w:t>Integrating gene expression and microbiome data</w:t>
      </w:r>
    </w:p>
    <w:p w14:paraId="53432815" w14:textId="28A9DEBA" w:rsidR="0073524C" w:rsidRDefault="007B41E1" w:rsidP="067D26A0">
      <w:pPr>
        <w:spacing w:line="480" w:lineRule="auto"/>
        <w:rPr>
          <w:rFonts w:asciiTheme="minorHAnsi" w:hAnsiTheme="minorHAnsi" w:cstheme="minorBidi"/>
          <w:sz w:val="22"/>
          <w:szCs w:val="22"/>
        </w:rPr>
      </w:pPr>
      <w:r w:rsidRPr="067D26A0">
        <w:rPr>
          <w:rFonts w:asciiTheme="minorHAnsi" w:hAnsiTheme="minorHAnsi" w:cstheme="minorBidi"/>
          <w:sz w:val="22"/>
          <w:szCs w:val="22"/>
        </w:rPr>
        <w:lastRenderedPageBreak/>
        <w:t xml:space="preserve">To investigate the relationship between host gene expression and </w:t>
      </w:r>
      <w:r w:rsidR="00A11965" w:rsidRPr="067D26A0">
        <w:rPr>
          <w:rFonts w:asciiTheme="minorHAnsi" w:hAnsiTheme="minorHAnsi" w:cstheme="minorBidi"/>
          <w:sz w:val="22"/>
          <w:szCs w:val="22"/>
        </w:rPr>
        <w:t xml:space="preserve">microbiome, we used a sparse Canonical Correlation analysis (CCA) approach. </w:t>
      </w:r>
      <w:r w:rsidR="0073524C" w:rsidRPr="067D26A0">
        <w:rPr>
          <w:rFonts w:asciiTheme="minorHAnsi" w:hAnsiTheme="minorHAnsi" w:cstheme="minorBidi"/>
          <w:sz w:val="22"/>
          <w:szCs w:val="22"/>
        </w:rPr>
        <w:t>Low-abundance ASVs present in fewer than 20</w:t>
      </w:r>
      <w:r w:rsidR="005D629F">
        <w:rPr>
          <w:rFonts w:asciiTheme="minorHAnsi" w:hAnsiTheme="minorHAnsi" w:cstheme="minorBidi"/>
          <w:sz w:val="22"/>
          <w:szCs w:val="22"/>
        </w:rPr>
        <w:t xml:space="preserve"> </w:t>
      </w:r>
      <w:r w:rsidR="0073524C" w:rsidRPr="067D26A0">
        <w:rPr>
          <w:rFonts w:asciiTheme="minorHAnsi" w:hAnsiTheme="minorHAnsi" w:cstheme="minorBidi"/>
          <w:sz w:val="22"/>
          <w:szCs w:val="22"/>
        </w:rPr>
        <w:t xml:space="preserve">% of samples per timepoint were removed. Microbiome matrices were centered log-ratio (CLR) transformed and standardized using the </w:t>
      </w:r>
      <w:r w:rsidR="004D1DDC">
        <w:rPr>
          <w:rFonts w:asciiTheme="minorHAnsi" w:hAnsiTheme="minorHAnsi" w:cstheme="minorBidi"/>
          <w:sz w:val="22"/>
          <w:szCs w:val="22"/>
        </w:rPr>
        <w:t>“</w:t>
      </w:r>
      <w:proofErr w:type="spellStart"/>
      <w:r w:rsidR="0073524C" w:rsidRPr="067D26A0">
        <w:rPr>
          <w:rFonts w:asciiTheme="minorHAnsi" w:hAnsiTheme="minorHAnsi" w:cstheme="minorBidi"/>
          <w:sz w:val="22"/>
          <w:szCs w:val="22"/>
        </w:rPr>
        <w:t>clr</w:t>
      </w:r>
      <w:proofErr w:type="spellEnd"/>
      <w:r w:rsidR="004D1DDC">
        <w:rPr>
          <w:rFonts w:asciiTheme="minorHAnsi" w:hAnsiTheme="minorHAnsi" w:cstheme="minorBidi"/>
          <w:sz w:val="22"/>
          <w:szCs w:val="22"/>
        </w:rPr>
        <w:t>”</w:t>
      </w:r>
      <w:r w:rsidR="0073524C" w:rsidRPr="067D26A0">
        <w:rPr>
          <w:rFonts w:asciiTheme="minorHAnsi" w:hAnsiTheme="minorHAnsi" w:cstheme="minorBidi"/>
          <w:sz w:val="22"/>
          <w:szCs w:val="22"/>
        </w:rPr>
        <w:t xml:space="preserve"> function in the compositions v2.0-9 R package </w:t>
      </w:r>
      <w:r w:rsidR="004473F6" w:rsidRPr="067D26A0">
        <w:rPr>
          <w:rFonts w:asciiTheme="minorHAnsi" w:hAnsiTheme="minorHAnsi" w:cstheme="minorBidi"/>
          <w:sz w:val="22"/>
          <w:szCs w:val="22"/>
        </w:rPr>
        <w:fldChar w:fldCharType="begin"/>
      </w:r>
      <w:r w:rsidR="00E865C5">
        <w:rPr>
          <w:rFonts w:asciiTheme="minorHAnsi" w:hAnsiTheme="minorHAnsi" w:cstheme="minorBidi"/>
          <w:sz w:val="22"/>
          <w:szCs w:val="22"/>
        </w:rPr>
        <w:instrText xml:space="preserve"> ADDIN ZOTERO_ITEM CSL_CITATION {"citationID":"vHHJ0LbU","properties":{"formattedCitation":"(58)","plainCitation":"(58)","noteIndex":0},"citationItems":[{"id":19535,"uris":["http://zotero.org/groups/6008588/items/7ZNUSTR5"],"itemData":{"id":19535,"type":"software","abstract":"Provides functions for the consistent analysis of compositional data (e.g. portions of substances) and positive numbers (e.g. concentrations) in the way proposed by J. Aitchison and V. Pawlowsky-Glahn.","license":"GPL-2 | GPL-3 [expanded from: GPL (≥ 2)]","source":"R-Packages","title":"compositions: Compositional Data Analysis","title-short":"compositions","URL":"https://cran.r-project.org/web/packages/compositions/index.html","version":"2.0-9","author":[{"family":"Boogaart","given":"K. Gerald","dropping-particle":"van den"},{"family":"Tolosana-Delgado","given":"Raimon"},{"family":"Bren","given":"Matevz"}],"accessed":{"date-parts":[["2025",11,18]]},"issued":{"date-parts":[["2025",8,21]]}}}],"schema":"https://github.com/citation-style-language/schema/raw/master/csl-citation.json"} </w:instrText>
      </w:r>
      <w:r w:rsidR="004473F6" w:rsidRPr="067D26A0">
        <w:rPr>
          <w:rFonts w:asciiTheme="minorHAnsi" w:hAnsiTheme="minorHAnsi" w:cstheme="minorBidi"/>
          <w:sz w:val="22"/>
          <w:szCs w:val="22"/>
        </w:rPr>
        <w:fldChar w:fldCharType="separate"/>
      </w:r>
      <w:r w:rsidR="00E865C5">
        <w:rPr>
          <w:rFonts w:asciiTheme="minorHAnsi" w:hAnsiTheme="minorHAnsi" w:cstheme="minorBidi"/>
          <w:noProof/>
          <w:sz w:val="22"/>
          <w:szCs w:val="22"/>
        </w:rPr>
        <w:t>(58)</w:t>
      </w:r>
      <w:r w:rsidR="004473F6" w:rsidRPr="067D26A0">
        <w:rPr>
          <w:rFonts w:asciiTheme="minorHAnsi" w:hAnsiTheme="minorHAnsi" w:cstheme="minorBidi"/>
          <w:sz w:val="22"/>
          <w:szCs w:val="22"/>
        </w:rPr>
        <w:fldChar w:fldCharType="end"/>
      </w:r>
      <w:r w:rsidR="0073524C" w:rsidRPr="067D26A0">
        <w:rPr>
          <w:rFonts w:asciiTheme="minorHAnsi" w:hAnsiTheme="minorHAnsi" w:cstheme="minorBidi"/>
          <w:sz w:val="22"/>
          <w:szCs w:val="22"/>
        </w:rPr>
        <w:t xml:space="preserve">. Variance-stabilized host gene expression data were subset to genes in the </w:t>
      </w:r>
      <w:r w:rsidR="0073524C" w:rsidRPr="067D26A0">
        <w:rPr>
          <w:rFonts w:asciiTheme="minorHAnsi" w:hAnsiTheme="minorHAnsi" w:cstheme="minorBidi"/>
          <w:i/>
          <w:iCs/>
          <w:color w:val="000000" w:themeColor="text1"/>
          <w:sz w:val="22"/>
          <w:szCs w:val="22"/>
          <w:shd w:val="clear" w:color="auto" w:fill="FFFFFF"/>
        </w:rPr>
        <w:t>pr</w:t>
      </w:r>
      <w:r w:rsidR="00387746" w:rsidRPr="067D26A0">
        <w:rPr>
          <w:rFonts w:asciiTheme="minorHAnsi" w:hAnsiTheme="minorHAnsi" w:cstheme="minorBidi"/>
          <w:i/>
          <w:iCs/>
          <w:color w:val="000000" w:themeColor="text1"/>
          <w:sz w:val="22"/>
          <w:szCs w:val="22"/>
          <w:shd w:val="clear" w:color="auto" w:fill="FFFFFF"/>
        </w:rPr>
        <w:t>ior infection</w:t>
      </w:r>
      <w:r w:rsidR="0073524C" w:rsidRPr="067D26A0">
        <w:rPr>
          <w:rFonts w:asciiTheme="minorHAnsi" w:hAnsiTheme="minorHAnsi" w:cstheme="minorBidi"/>
          <w:i/>
          <w:iCs/>
          <w:color w:val="000000" w:themeColor="text1"/>
          <w:sz w:val="22"/>
          <w:szCs w:val="22"/>
          <w:shd w:val="clear" w:color="auto" w:fill="FFFFFF"/>
        </w:rPr>
        <w:t xml:space="preserve"> specific</w:t>
      </w:r>
      <w:r w:rsidR="0073524C" w:rsidRPr="067D26A0">
        <w:rPr>
          <w:rFonts w:asciiTheme="minorHAnsi" w:hAnsiTheme="minorHAnsi" w:cstheme="minorBidi"/>
          <w:sz w:val="22"/>
          <w:szCs w:val="22"/>
        </w:rPr>
        <w:t xml:space="preserve"> or </w:t>
      </w:r>
      <w:r w:rsidR="00387746" w:rsidRPr="067D26A0">
        <w:rPr>
          <w:rFonts w:asciiTheme="minorHAnsi" w:hAnsiTheme="minorHAnsi" w:cstheme="minorBidi"/>
          <w:i/>
          <w:iCs/>
          <w:sz w:val="22"/>
          <w:szCs w:val="22"/>
        </w:rPr>
        <w:t xml:space="preserve">current </w:t>
      </w:r>
      <w:r w:rsidR="0073524C" w:rsidRPr="067D26A0">
        <w:rPr>
          <w:rFonts w:asciiTheme="minorHAnsi" w:hAnsiTheme="minorHAnsi" w:cstheme="minorBidi"/>
          <w:i/>
          <w:iCs/>
          <w:sz w:val="22"/>
          <w:szCs w:val="22"/>
        </w:rPr>
        <w:t>infection</w:t>
      </w:r>
      <w:r w:rsidR="00387746" w:rsidRPr="067D26A0">
        <w:rPr>
          <w:rFonts w:asciiTheme="minorHAnsi" w:hAnsiTheme="minorHAnsi" w:cstheme="minorBidi"/>
          <w:i/>
          <w:iCs/>
          <w:sz w:val="22"/>
          <w:szCs w:val="22"/>
        </w:rPr>
        <w:t xml:space="preserve"> </w:t>
      </w:r>
      <w:r w:rsidR="0073524C" w:rsidRPr="067D26A0">
        <w:rPr>
          <w:rFonts w:asciiTheme="minorHAnsi" w:hAnsiTheme="minorHAnsi" w:cstheme="minorBidi"/>
          <w:i/>
          <w:iCs/>
          <w:sz w:val="22"/>
          <w:szCs w:val="22"/>
        </w:rPr>
        <w:t>specific</w:t>
      </w:r>
      <w:r w:rsidR="0073524C" w:rsidRPr="067D26A0">
        <w:rPr>
          <w:rFonts w:asciiTheme="minorHAnsi" w:hAnsiTheme="minorHAnsi" w:cstheme="minorBidi"/>
          <w:sz w:val="22"/>
          <w:szCs w:val="22"/>
        </w:rPr>
        <w:t xml:space="preserve"> sets identified above. To identify gene-microbe correlations independent of infection load (but still </w:t>
      </w:r>
      <w:r w:rsidR="0073524C" w:rsidRPr="067D26A0">
        <w:rPr>
          <w:rFonts w:asciiTheme="minorHAnsi" w:hAnsiTheme="minorHAnsi" w:cstheme="minorBidi"/>
          <w:i/>
          <w:iCs/>
          <w:sz w:val="22"/>
          <w:szCs w:val="22"/>
        </w:rPr>
        <w:t>prior and current infection specific genes</w:t>
      </w:r>
      <w:r w:rsidR="0073524C" w:rsidRPr="067D26A0">
        <w:rPr>
          <w:rFonts w:asciiTheme="minorHAnsi" w:hAnsiTheme="minorHAnsi" w:cstheme="minorBidi"/>
          <w:sz w:val="22"/>
          <w:szCs w:val="22"/>
        </w:rPr>
        <w:t>), residuals after regressing out log-transformed Bd-load were used for CCA and gene-microbe correlation analyses.</w:t>
      </w:r>
    </w:p>
    <w:p w14:paraId="501EB262" w14:textId="77777777" w:rsidR="0073524C" w:rsidRDefault="0073524C" w:rsidP="20F3762E">
      <w:pPr>
        <w:spacing w:line="480" w:lineRule="auto"/>
        <w:rPr>
          <w:rFonts w:asciiTheme="minorHAnsi" w:hAnsiTheme="minorHAnsi" w:cstheme="minorHAnsi"/>
          <w:sz w:val="22"/>
          <w:szCs w:val="22"/>
        </w:rPr>
      </w:pPr>
    </w:p>
    <w:p w14:paraId="21AB8107" w14:textId="1D81800B" w:rsidR="007B41E1" w:rsidRDefault="30153FEB" w:rsidP="552FBC60">
      <w:pPr>
        <w:spacing w:line="480" w:lineRule="auto"/>
        <w:rPr>
          <w:rFonts w:asciiTheme="minorHAnsi" w:hAnsiTheme="minorHAnsi" w:cstheme="minorBidi"/>
          <w:sz w:val="22"/>
          <w:szCs w:val="22"/>
        </w:rPr>
      </w:pPr>
      <w:r w:rsidRPr="30153FEB">
        <w:rPr>
          <w:rFonts w:asciiTheme="minorHAnsi" w:hAnsiTheme="minorHAnsi" w:cstheme="minorBidi"/>
          <w:sz w:val="22"/>
          <w:szCs w:val="22"/>
        </w:rPr>
        <w:t xml:space="preserve">We used bootstrapped sparse CCA to identify coordinated variation between host gene expression and microbiome composition using the PMA package v.1.2-4 in R </w:t>
      </w:r>
      <w:r w:rsidR="00B802CD" w:rsidRPr="30153FEB">
        <w:rPr>
          <w:rFonts w:asciiTheme="minorHAnsi" w:hAnsiTheme="minorHAnsi" w:cstheme="minorBidi"/>
          <w:sz w:val="22"/>
          <w:szCs w:val="22"/>
        </w:rPr>
        <w:fldChar w:fldCharType="begin"/>
      </w:r>
      <w:r w:rsidR="00E865C5">
        <w:rPr>
          <w:rFonts w:asciiTheme="minorHAnsi" w:hAnsiTheme="minorHAnsi" w:cstheme="minorBidi"/>
          <w:sz w:val="22"/>
          <w:szCs w:val="22"/>
        </w:rPr>
        <w:instrText xml:space="preserve"> ADDIN ZOTERO_ITEM CSL_CITATION {"citationID":"OGOFScQe","properties":{"formattedCitation":"(59)","plainCitation":"(59)","noteIndex":0},"citationItems":[{"id":19536,"uris":["http://zotero.org/groups/6008588/items/URMN2NGF"],"itemData":{"id":19536,"type":"software","abstract":"Performs Penalized Multivariate Analysis: a penalized matrix decomposition, sparse principal components analysis, and sparse canonical correlation analysis, described in Witten, Tibshirani and Hastie (2009) &lt;doi:10.1093/biostatistics/kxp008&gt; and Witten and Tibshirani (2009) Extensions of sparse canonical correlation analysis, with applications to genomic data &lt;doi:10.2202/1544-6115.1470&gt;.","license":"GPL-2 | GPL-3 [expanded from: GPL (≥ 2)]","source":"R-Packages","title":"PMA: Penalized Multivariate Analysis","title-short":"PMA","URL":"https://cran.r-project.org/web/packages/PMA/index.html","version":"1.2-4","author":[{"family":"Witten","given":"Daniela"},{"family":"Tibshirani","given":"Rob"},{"family":"Gross","given":"Sam"},{"family":"Narasimhan","given":"Balasubramanian"}],"accessed":{"date-parts":[["2025",11,18]]},"issued":{"date-parts":[["2024",9,3]]}}}],"schema":"https://github.com/citation-style-language/schema/raw/master/csl-citation.json"} </w:instrText>
      </w:r>
      <w:r w:rsidR="00B802CD" w:rsidRPr="30153FEB">
        <w:rPr>
          <w:rFonts w:asciiTheme="minorHAnsi" w:hAnsiTheme="minorHAnsi" w:cstheme="minorBidi"/>
          <w:sz w:val="22"/>
          <w:szCs w:val="22"/>
        </w:rPr>
        <w:fldChar w:fldCharType="separate"/>
      </w:r>
      <w:r w:rsidR="00E865C5">
        <w:rPr>
          <w:rFonts w:asciiTheme="minorHAnsi" w:hAnsiTheme="minorHAnsi" w:cstheme="minorBidi"/>
          <w:noProof/>
          <w:sz w:val="22"/>
          <w:szCs w:val="22"/>
        </w:rPr>
        <w:t>(59)</w:t>
      </w:r>
      <w:r w:rsidR="00B802CD" w:rsidRPr="30153FEB">
        <w:rPr>
          <w:rFonts w:asciiTheme="minorHAnsi" w:hAnsiTheme="minorHAnsi" w:cstheme="minorBidi"/>
          <w:sz w:val="22"/>
          <w:szCs w:val="22"/>
        </w:rPr>
        <w:fldChar w:fldCharType="end"/>
      </w:r>
      <w:r w:rsidRPr="30153FEB">
        <w:rPr>
          <w:rFonts w:asciiTheme="minorHAnsi" w:hAnsiTheme="minorHAnsi" w:cstheme="minorBidi"/>
          <w:sz w:val="22"/>
          <w:szCs w:val="22"/>
        </w:rPr>
        <w:t xml:space="preserve">. Regularization parameters were selected through permutation-based tuning with the </w:t>
      </w:r>
      <w:r w:rsidR="00FD778A">
        <w:rPr>
          <w:rFonts w:asciiTheme="minorHAnsi" w:hAnsiTheme="minorHAnsi" w:cstheme="minorBidi"/>
          <w:sz w:val="22"/>
          <w:szCs w:val="22"/>
        </w:rPr>
        <w:t>“</w:t>
      </w:r>
      <w:proofErr w:type="spellStart"/>
      <w:r w:rsidRPr="30153FEB">
        <w:rPr>
          <w:rFonts w:asciiTheme="minorHAnsi" w:hAnsiTheme="minorHAnsi" w:cstheme="minorBidi"/>
          <w:sz w:val="22"/>
          <w:szCs w:val="22"/>
        </w:rPr>
        <w:t>CCA.permute</w:t>
      </w:r>
      <w:proofErr w:type="spellEnd"/>
      <w:r w:rsidR="00FD778A">
        <w:rPr>
          <w:rFonts w:asciiTheme="minorHAnsi" w:hAnsiTheme="minorHAnsi" w:cstheme="minorBidi"/>
          <w:sz w:val="22"/>
          <w:szCs w:val="22"/>
        </w:rPr>
        <w:t>”</w:t>
      </w:r>
      <w:r w:rsidRPr="30153FEB">
        <w:rPr>
          <w:rFonts w:asciiTheme="minorHAnsi" w:hAnsiTheme="minorHAnsi" w:cstheme="minorBidi"/>
          <w:sz w:val="22"/>
          <w:szCs w:val="22"/>
        </w:rPr>
        <w:t xml:space="preserve"> function in PMA. To quantify stability of the CCA feature selection, we performed a nonparametric bootstrap in which samples were resampled with replacement and sparse CCA was estimated for each bootstrap dataset. For each iteration, rows of the </w:t>
      </w:r>
      <w:proofErr w:type="spellStart"/>
      <w:r w:rsidRPr="30153FEB">
        <w:rPr>
          <w:rFonts w:asciiTheme="minorHAnsi" w:hAnsiTheme="minorHAnsi" w:cstheme="minorBidi"/>
          <w:sz w:val="22"/>
          <w:szCs w:val="22"/>
        </w:rPr>
        <w:t>residualized</w:t>
      </w:r>
      <w:proofErr w:type="spellEnd"/>
      <w:r w:rsidRPr="30153FEB">
        <w:rPr>
          <w:rFonts w:asciiTheme="minorHAnsi" w:hAnsiTheme="minorHAnsi" w:cstheme="minorBidi"/>
          <w:sz w:val="22"/>
          <w:szCs w:val="22"/>
        </w:rPr>
        <w:t xml:space="preserve"> gene expression and microbiome matrices were resampled jointly, preserving sample structure. Sparse CCA was then run for each bootstrap dataset using the CCA function in PMA and the same regularization parameters (</w:t>
      </w:r>
      <w:proofErr w:type="spellStart"/>
      <w:r w:rsidRPr="30153FEB">
        <w:rPr>
          <w:rFonts w:asciiTheme="minorHAnsi" w:hAnsiTheme="minorHAnsi" w:cstheme="minorBidi"/>
          <w:sz w:val="22"/>
          <w:szCs w:val="22"/>
        </w:rPr>
        <w:t>penalty_x</w:t>
      </w:r>
      <w:proofErr w:type="spellEnd"/>
      <w:r w:rsidRPr="30153FEB">
        <w:rPr>
          <w:rFonts w:asciiTheme="minorHAnsi" w:hAnsiTheme="minorHAnsi" w:cstheme="minorBidi"/>
          <w:sz w:val="22"/>
          <w:szCs w:val="22"/>
        </w:rPr>
        <w:t xml:space="preserve"> and </w:t>
      </w:r>
      <w:proofErr w:type="spellStart"/>
      <w:r w:rsidRPr="30153FEB">
        <w:rPr>
          <w:rFonts w:asciiTheme="minorHAnsi" w:hAnsiTheme="minorHAnsi" w:cstheme="minorBidi"/>
          <w:sz w:val="22"/>
          <w:szCs w:val="22"/>
        </w:rPr>
        <w:t>penalty_z</w:t>
      </w:r>
      <w:proofErr w:type="spellEnd"/>
      <w:r w:rsidRPr="30153FEB">
        <w:rPr>
          <w:rFonts w:asciiTheme="minorHAnsi" w:hAnsiTheme="minorHAnsi" w:cstheme="minorBidi"/>
          <w:sz w:val="22"/>
          <w:szCs w:val="22"/>
        </w:rPr>
        <w:t>) selected by permutation tuning of the full dataset, with one canonical component. Across 1 000 bootstrap iterations, we recorded whether each gene or microbial taxon received a non-zero canonical loading, as well as the loading value itself. We then selected stable gene and microbe features which were selected (i.e. had non-zero weights) in at least 40 % of CCA bootstraps at either timepoint. Mean canonical weights across bootstraps were used to compute canonical variates for visualization.</w:t>
      </w:r>
    </w:p>
    <w:p w14:paraId="17DE25A7" w14:textId="77777777" w:rsidR="0073524C" w:rsidRDefault="0073524C" w:rsidP="20F3762E">
      <w:pPr>
        <w:spacing w:line="480" w:lineRule="auto"/>
        <w:rPr>
          <w:rFonts w:asciiTheme="minorHAnsi" w:hAnsiTheme="minorHAnsi" w:cstheme="minorHAnsi"/>
          <w:sz w:val="22"/>
          <w:szCs w:val="22"/>
        </w:rPr>
      </w:pPr>
    </w:p>
    <w:p w14:paraId="71D2A6ED" w14:textId="36FBB36D" w:rsidR="008C23C6" w:rsidRDefault="6CD91A3F" w:rsidP="6CD91A3F">
      <w:pPr>
        <w:spacing w:line="480" w:lineRule="auto"/>
        <w:rPr>
          <w:rFonts w:asciiTheme="minorHAnsi" w:hAnsiTheme="minorHAnsi" w:cstheme="minorBidi"/>
          <w:sz w:val="22"/>
          <w:szCs w:val="22"/>
        </w:rPr>
      </w:pPr>
      <w:r w:rsidRPr="6CD91A3F">
        <w:rPr>
          <w:rFonts w:asciiTheme="minorHAnsi" w:hAnsiTheme="minorHAnsi" w:cstheme="minorBidi"/>
          <w:sz w:val="22"/>
          <w:szCs w:val="22"/>
        </w:rPr>
        <w:lastRenderedPageBreak/>
        <w:t xml:space="preserve">Pearson correlation tests between all pairs of CCA-selected genes and microbial features were conducted for each timepoint using the </w:t>
      </w:r>
      <w:r w:rsidR="00FD778A">
        <w:rPr>
          <w:rFonts w:asciiTheme="minorHAnsi" w:hAnsiTheme="minorHAnsi" w:cstheme="minorBidi"/>
          <w:sz w:val="22"/>
          <w:szCs w:val="22"/>
        </w:rPr>
        <w:t>“</w:t>
      </w:r>
      <w:proofErr w:type="spellStart"/>
      <w:r w:rsidRPr="6CD91A3F">
        <w:rPr>
          <w:rFonts w:asciiTheme="minorHAnsi" w:hAnsiTheme="minorHAnsi" w:cstheme="minorBidi"/>
          <w:sz w:val="22"/>
          <w:szCs w:val="22"/>
        </w:rPr>
        <w:t>rcorr</w:t>
      </w:r>
      <w:proofErr w:type="spellEnd"/>
      <w:r w:rsidR="00FD778A">
        <w:rPr>
          <w:rFonts w:asciiTheme="minorHAnsi" w:hAnsiTheme="minorHAnsi" w:cstheme="minorBidi"/>
          <w:sz w:val="22"/>
          <w:szCs w:val="22"/>
        </w:rPr>
        <w:t>”</w:t>
      </w:r>
      <w:r w:rsidRPr="6CD91A3F">
        <w:rPr>
          <w:rFonts w:asciiTheme="minorHAnsi" w:hAnsiTheme="minorHAnsi" w:cstheme="minorBidi"/>
          <w:sz w:val="22"/>
          <w:szCs w:val="22"/>
        </w:rPr>
        <w:t xml:space="preserve"> function from the </w:t>
      </w:r>
      <w:proofErr w:type="spellStart"/>
      <w:r w:rsidRPr="6CD91A3F">
        <w:rPr>
          <w:rFonts w:asciiTheme="minorHAnsi" w:hAnsiTheme="minorHAnsi" w:cstheme="minorBidi"/>
          <w:sz w:val="22"/>
          <w:szCs w:val="22"/>
        </w:rPr>
        <w:t>Hmisc</w:t>
      </w:r>
      <w:proofErr w:type="spellEnd"/>
      <w:r w:rsidRPr="6CD91A3F">
        <w:rPr>
          <w:rFonts w:asciiTheme="minorHAnsi" w:hAnsiTheme="minorHAnsi" w:cstheme="minorBidi"/>
          <w:sz w:val="22"/>
          <w:szCs w:val="22"/>
        </w:rPr>
        <w:t xml:space="preserve"> v5.2-3 R package </w:t>
      </w:r>
      <w:r w:rsidR="5F8DA705" w:rsidRPr="6CD91A3F">
        <w:rPr>
          <w:rFonts w:asciiTheme="minorHAnsi" w:hAnsiTheme="minorHAnsi" w:cstheme="minorBidi"/>
          <w:sz w:val="22"/>
          <w:szCs w:val="22"/>
        </w:rPr>
        <w:fldChar w:fldCharType="begin"/>
      </w:r>
      <w:r w:rsidR="5F8DA705" w:rsidRPr="6CD91A3F">
        <w:rPr>
          <w:rFonts w:asciiTheme="minorHAnsi" w:hAnsiTheme="minorHAnsi" w:cstheme="minorBidi"/>
          <w:sz w:val="22"/>
          <w:szCs w:val="22"/>
        </w:rPr>
        <w:instrText xml:space="preserve"> ADDIN ZOTERO_ITEM CSL_CITATION {"citationID":"upm6q2wu","properties":{"formattedCitation":"(60)","plainCitation":"(60)","noteIndex":0},"citationItems":[{"id":19538,"uris":["http://zotero.org/groups/6008588/items/74LIX7FK"],"itemData":{"id":19538,"type":"dataset","abstract":"Contains many functions useful for data analysis, high-level graphics, utility operations, functions for computing sample size and power, simulation, importing and annotating datasets, imputing missing values, advanced table making, variable clustering, character string manipulation, conversion of R objects to LaTeX and html code, recoding variables, caching, simplified parallel computing, encrypting and decrypting data using a safe workflow, general moving window statistical estimation, and assistance in interpreting principal component analysis.","DOI":"10.32614/CRAN.package.Hmisc","language":"en","note":"Institution: Comprehensive R Archive Network\npage: 5.2-4","source":"DOI.org (Crossref)","title":"Hmisc: Harrell Miscellaneous","title-short":"Hmisc","URL":"https://CRAN.R-project.org/package=Hmisc","author":[{"family":"Harrell Jr","given":"Frank E"}],"accessed":{"date-parts":[["2025",11,18]]},"issued":{"date-parts":[["2003"]]}}}],"schema":"https://github.com/citation-style-language/schema/raw/master/csl-citation.json"} </w:instrText>
      </w:r>
      <w:r w:rsidR="5F8DA705" w:rsidRPr="6CD91A3F">
        <w:rPr>
          <w:rFonts w:asciiTheme="minorHAnsi" w:hAnsiTheme="minorHAnsi" w:cstheme="minorBidi"/>
          <w:sz w:val="22"/>
          <w:szCs w:val="22"/>
        </w:rPr>
        <w:fldChar w:fldCharType="separate"/>
      </w:r>
      <w:r w:rsidRPr="6CD91A3F">
        <w:rPr>
          <w:rFonts w:asciiTheme="minorHAnsi" w:hAnsiTheme="minorHAnsi" w:cstheme="minorBidi"/>
          <w:noProof/>
          <w:sz w:val="22"/>
          <w:szCs w:val="22"/>
        </w:rPr>
        <w:t>(60)</w:t>
      </w:r>
      <w:r w:rsidR="5F8DA705" w:rsidRPr="6CD91A3F">
        <w:rPr>
          <w:rFonts w:asciiTheme="minorHAnsi" w:hAnsiTheme="minorHAnsi" w:cstheme="minorBidi"/>
          <w:sz w:val="22"/>
          <w:szCs w:val="22"/>
        </w:rPr>
        <w:fldChar w:fldCharType="end"/>
      </w:r>
      <w:r w:rsidRPr="6CD91A3F">
        <w:rPr>
          <w:rFonts w:asciiTheme="minorHAnsi" w:hAnsiTheme="minorHAnsi" w:cstheme="minorBidi"/>
          <w:sz w:val="22"/>
          <w:szCs w:val="22"/>
        </w:rPr>
        <w:t xml:space="preserve">, with false discovery rate adjustment of p-values. Correlations significant in both timepoints (adjusted p &lt; 0.05) were retained for network construction and further analysis. A bipartite network was visualized using Gephi v0.1.0 </w:t>
      </w:r>
      <w:r w:rsidR="5F8DA705" w:rsidRPr="6CD91A3F">
        <w:rPr>
          <w:rFonts w:asciiTheme="minorHAnsi" w:hAnsiTheme="minorHAnsi" w:cstheme="minorBidi"/>
          <w:sz w:val="22"/>
          <w:szCs w:val="22"/>
        </w:rPr>
        <w:fldChar w:fldCharType="begin"/>
      </w:r>
      <w:r w:rsidR="5F8DA705" w:rsidRPr="6CD91A3F">
        <w:rPr>
          <w:rFonts w:asciiTheme="minorHAnsi" w:hAnsiTheme="minorHAnsi" w:cstheme="minorBidi"/>
          <w:sz w:val="22"/>
          <w:szCs w:val="22"/>
        </w:rPr>
        <w:instrText xml:space="preserve"> ADDIN ZOTERO_ITEM CSL_CITATION {"citationID":"rGdg9eUu","properties":{"formattedCitation":"(61)","plainCitation":"(61)","noteIndex":0},"citationItems":[{"id":19539,"uris":["http://zotero.org/groups/6008588/items/DE89DAU6"],"itemData":{"id":19539,"type":"webpage","title":"Gephi - The Open Graph Viz Platform","URL":"https://gephi.org/desktop/","accessed":{"date-parts":[["2025",11,18]]}}}],"schema":"https://github.com/citation-style-language/schema/raw/master/csl-citation.json"} </w:instrText>
      </w:r>
      <w:r w:rsidR="5F8DA705" w:rsidRPr="6CD91A3F">
        <w:rPr>
          <w:rFonts w:asciiTheme="minorHAnsi" w:hAnsiTheme="minorHAnsi" w:cstheme="minorBidi"/>
          <w:sz w:val="22"/>
          <w:szCs w:val="22"/>
        </w:rPr>
        <w:fldChar w:fldCharType="separate"/>
      </w:r>
      <w:r w:rsidRPr="6CD91A3F">
        <w:rPr>
          <w:rFonts w:asciiTheme="minorHAnsi" w:hAnsiTheme="minorHAnsi" w:cstheme="minorBidi"/>
          <w:noProof/>
          <w:sz w:val="22"/>
          <w:szCs w:val="22"/>
        </w:rPr>
        <w:t>(61)</w:t>
      </w:r>
      <w:r w:rsidR="5F8DA705" w:rsidRPr="6CD91A3F">
        <w:rPr>
          <w:rFonts w:asciiTheme="minorHAnsi" w:hAnsiTheme="minorHAnsi" w:cstheme="minorBidi"/>
          <w:sz w:val="22"/>
          <w:szCs w:val="22"/>
        </w:rPr>
        <w:fldChar w:fldCharType="end"/>
      </w:r>
      <w:r w:rsidRPr="6CD91A3F">
        <w:rPr>
          <w:rFonts w:asciiTheme="minorHAnsi" w:hAnsiTheme="minorHAnsi" w:cstheme="minorBidi"/>
          <w:sz w:val="22"/>
          <w:szCs w:val="22"/>
        </w:rPr>
        <w:t xml:space="preserve"> using only significant gene microbe correlations with an absolute correlation &gt; 0.1. </w:t>
      </w:r>
    </w:p>
    <w:p w14:paraId="16BF8613" w14:textId="77777777" w:rsidR="008C23C6" w:rsidRDefault="008C23C6" w:rsidP="20F3762E">
      <w:pPr>
        <w:spacing w:line="480" w:lineRule="auto"/>
        <w:rPr>
          <w:rFonts w:asciiTheme="minorHAnsi" w:hAnsiTheme="minorHAnsi" w:cstheme="minorHAnsi"/>
          <w:sz w:val="22"/>
          <w:szCs w:val="22"/>
        </w:rPr>
      </w:pPr>
    </w:p>
    <w:p w14:paraId="3981E36B" w14:textId="72044A6E" w:rsidR="005F3149" w:rsidRPr="00D16989" w:rsidRDefault="5F8DA705" w:rsidP="30153FEB">
      <w:pPr>
        <w:spacing w:line="480" w:lineRule="auto"/>
        <w:rPr>
          <w:rFonts w:asciiTheme="minorHAnsi" w:hAnsiTheme="minorHAnsi" w:cstheme="minorBidi"/>
          <w:sz w:val="22"/>
          <w:szCs w:val="22"/>
        </w:rPr>
      </w:pPr>
      <w:r w:rsidRPr="5F8DA705">
        <w:rPr>
          <w:rFonts w:asciiTheme="minorHAnsi" w:hAnsiTheme="minorHAnsi" w:cstheme="minorBidi"/>
          <w:sz w:val="22"/>
          <w:szCs w:val="22"/>
        </w:rPr>
        <w:t>To determine whether gene-microbe correlations differed between treatment groups, we first recalculated correlations using only the samples from each group (</w:t>
      </w:r>
      <w:proofErr w:type="spellStart"/>
      <w:proofErr w:type="gramStart"/>
      <w:r w:rsidRPr="5F8DA705">
        <w:rPr>
          <w:rFonts w:asciiTheme="minorHAnsi" w:hAnsiTheme="minorHAnsi" w:cstheme="minorBidi"/>
          <w:sz w:val="22"/>
          <w:szCs w:val="22"/>
        </w:rPr>
        <w:t>treatment:timepoint</w:t>
      </w:r>
      <w:proofErr w:type="spellEnd"/>
      <w:proofErr w:type="gramEnd"/>
      <w:r w:rsidRPr="5F8DA705">
        <w:rPr>
          <w:rFonts w:asciiTheme="minorHAnsi" w:hAnsiTheme="minorHAnsi" w:cstheme="minorBidi"/>
          <w:sz w:val="22"/>
          <w:szCs w:val="22"/>
        </w:rPr>
        <w:t xml:space="preserve"> = 10 groups) using the </w:t>
      </w:r>
      <w:proofErr w:type="spellStart"/>
      <w:r w:rsidRPr="5F8DA705">
        <w:rPr>
          <w:rFonts w:asciiTheme="minorHAnsi" w:hAnsiTheme="minorHAnsi" w:cstheme="minorBidi"/>
          <w:sz w:val="22"/>
          <w:szCs w:val="22"/>
        </w:rPr>
        <w:t>residualized</w:t>
      </w:r>
      <w:proofErr w:type="spellEnd"/>
      <w:r w:rsidRPr="5F8DA705">
        <w:rPr>
          <w:rFonts w:asciiTheme="minorHAnsi" w:hAnsiTheme="minorHAnsi" w:cstheme="minorBidi"/>
          <w:sz w:val="22"/>
          <w:szCs w:val="22"/>
        </w:rPr>
        <w:t xml:space="preserve"> data. We assessed concordance of correlation signs between treatment groups with Fisher’s exact tests. We assessed the correlation of gene-microbe correlation values between treatment groups using permutation-based correlation tests implemented in the </w:t>
      </w:r>
      <w:r w:rsidR="00D90B82">
        <w:rPr>
          <w:rFonts w:asciiTheme="minorHAnsi" w:hAnsiTheme="minorHAnsi" w:cstheme="minorBidi"/>
          <w:sz w:val="22"/>
          <w:szCs w:val="22"/>
        </w:rPr>
        <w:t>“</w:t>
      </w:r>
      <w:proofErr w:type="spellStart"/>
      <w:r w:rsidRPr="5F8DA705">
        <w:rPr>
          <w:rFonts w:asciiTheme="minorHAnsi" w:hAnsiTheme="minorHAnsi" w:cstheme="minorBidi"/>
          <w:sz w:val="22"/>
          <w:szCs w:val="22"/>
        </w:rPr>
        <w:t>perm_test</w:t>
      </w:r>
      <w:proofErr w:type="spellEnd"/>
      <w:r w:rsidR="00D90B82">
        <w:rPr>
          <w:rFonts w:asciiTheme="minorHAnsi" w:hAnsiTheme="minorHAnsi" w:cstheme="minorBidi"/>
          <w:sz w:val="22"/>
          <w:szCs w:val="22"/>
        </w:rPr>
        <w:t>”</w:t>
      </w:r>
      <w:r w:rsidRPr="5F8DA705">
        <w:rPr>
          <w:rFonts w:asciiTheme="minorHAnsi" w:hAnsiTheme="minorHAnsi" w:cstheme="minorBidi"/>
          <w:sz w:val="22"/>
          <w:szCs w:val="22"/>
        </w:rPr>
        <w:t xml:space="preserve"> function from the </w:t>
      </w:r>
      <w:proofErr w:type="spellStart"/>
      <w:r w:rsidRPr="5F8DA705">
        <w:rPr>
          <w:rFonts w:asciiTheme="minorHAnsi" w:hAnsiTheme="minorHAnsi" w:cstheme="minorBidi"/>
          <w:sz w:val="22"/>
          <w:szCs w:val="22"/>
        </w:rPr>
        <w:t>PermCor</w:t>
      </w:r>
      <w:proofErr w:type="spellEnd"/>
      <w:r w:rsidRPr="5F8DA705">
        <w:rPr>
          <w:rFonts w:asciiTheme="minorHAnsi" w:hAnsiTheme="minorHAnsi" w:cstheme="minorBidi"/>
          <w:sz w:val="22"/>
          <w:szCs w:val="22"/>
        </w:rPr>
        <w:t xml:space="preserve"> R package v0.1.0 </w:t>
      </w:r>
      <w:r w:rsidR="002D425C" w:rsidRPr="5F8DA705">
        <w:rPr>
          <w:rFonts w:asciiTheme="minorHAnsi" w:hAnsiTheme="minorHAnsi" w:cstheme="minorBidi"/>
          <w:sz w:val="22"/>
          <w:szCs w:val="22"/>
        </w:rPr>
        <w:fldChar w:fldCharType="begin"/>
      </w:r>
      <w:r w:rsidR="00E865C5">
        <w:rPr>
          <w:rFonts w:asciiTheme="minorHAnsi" w:hAnsiTheme="minorHAnsi" w:cstheme="minorBidi"/>
          <w:sz w:val="22"/>
          <w:szCs w:val="22"/>
        </w:rPr>
        <w:instrText xml:space="preserve"> ADDIN ZOTERO_ITEM CSL_CITATION {"citationID":"XU63FQW1","properties":{"formattedCitation":"(62)","plainCitation":"(62)","noteIndex":0},"citationItems":[{"id":19541,"uris":["http://zotero.org/groups/6008588/items/8MYZ42V2"],"itemData":{"id":19541,"type":"software","abstract":"Provides tools for statistical testing of correlation coefficients through robust permutation method and large sample approximation method. Tailored to different types of correlation coefficients including Pearson correlation coefficient, weighted Pearson correlation coefficient, Spearman correlation coefficient, and Lin's concordance correlation coefficient.The robust permutation test controls type I error under general scenarios when sample size is small and two variables are dependent but uncorrelated. The large sample approximation test generally controls type I error when the sample size is large (&gt;200).","license":"GPL-3","source":"R-Packages","title":"PermCor: Robust Permutation Tests of Correlation Coefficients","title-short":"PermCor","URL":"https://cran.r-project.org/web/packages/PermCor/index.html","version":"0.1.0","author":[{"family":"Fang","given":"Mengyu"},{"family":"Yu","given":"Han"},{"family":"Hutson","given":"Alan"}],"accessed":{"date-parts":[["2025",11,18]]},"issued":{"date-parts":[["2024",8,19]]}}}],"schema":"https://github.com/citation-style-language/schema/raw/master/csl-citation.json"} </w:instrText>
      </w:r>
      <w:r w:rsidR="002D425C" w:rsidRPr="5F8DA705">
        <w:rPr>
          <w:rFonts w:asciiTheme="minorHAnsi" w:hAnsiTheme="minorHAnsi" w:cstheme="minorBidi"/>
          <w:sz w:val="22"/>
          <w:szCs w:val="22"/>
        </w:rPr>
        <w:fldChar w:fldCharType="separate"/>
      </w:r>
      <w:r w:rsidR="00E865C5">
        <w:rPr>
          <w:rFonts w:asciiTheme="minorHAnsi" w:hAnsiTheme="minorHAnsi" w:cstheme="minorBidi"/>
          <w:noProof/>
          <w:sz w:val="22"/>
          <w:szCs w:val="22"/>
        </w:rPr>
        <w:t>(62)</w:t>
      </w:r>
      <w:r w:rsidR="002D425C" w:rsidRPr="5F8DA705">
        <w:rPr>
          <w:rFonts w:asciiTheme="minorHAnsi" w:hAnsiTheme="minorHAnsi" w:cstheme="minorBidi"/>
          <w:sz w:val="22"/>
          <w:szCs w:val="22"/>
        </w:rPr>
        <w:fldChar w:fldCharType="end"/>
      </w:r>
      <w:r w:rsidRPr="5F8DA705">
        <w:rPr>
          <w:rFonts w:asciiTheme="minorHAnsi" w:hAnsiTheme="minorHAnsi" w:cstheme="minorBidi"/>
          <w:sz w:val="22"/>
          <w:szCs w:val="22"/>
        </w:rPr>
        <w:t xml:space="preserve">using Pearson correlation and 1 000 permutations. P-values for correlation and Fishers exact tests were corrected for multiple testing using FDR. Differences in individual gene–microbe correlations between groups were evaluated using Fisher’s Z tests implemented with the </w:t>
      </w:r>
      <w:r w:rsidR="00D90B82">
        <w:rPr>
          <w:rFonts w:asciiTheme="minorHAnsi" w:hAnsiTheme="minorHAnsi" w:cstheme="minorBidi"/>
          <w:sz w:val="22"/>
          <w:szCs w:val="22"/>
        </w:rPr>
        <w:t>“</w:t>
      </w:r>
      <w:proofErr w:type="spellStart"/>
      <w:r w:rsidRPr="5F8DA705">
        <w:rPr>
          <w:rFonts w:asciiTheme="minorHAnsi" w:hAnsiTheme="minorHAnsi" w:cstheme="minorBidi"/>
          <w:sz w:val="22"/>
          <w:szCs w:val="22"/>
        </w:rPr>
        <w:t>cocor.indep.groups</w:t>
      </w:r>
      <w:proofErr w:type="spellEnd"/>
      <w:r w:rsidR="00D90B82">
        <w:rPr>
          <w:rFonts w:asciiTheme="minorHAnsi" w:hAnsiTheme="minorHAnsi" w:cstheme="minorBidi"/>
          <w:sz w:val="22"/>
          <w:szCs w:val="22"/>
        </w:rPr>
        <w:t>”</w:t>
      </w:r>
      <w:r w:rsidRPr="5F8DA705">
        <w:rPr>
          <w:rFonts w:asciiTheme="minorHAnsi" w:hAnsiTheme="minorHAnsi" w:cstheme="minorBidi"/>
          <w:sz w:val="22"/>
          <w:szCs w:val="22"/>
        </w:rPr>
        <w:t xml:space="preserve"> function in the </w:t>
      </w:r>
      <w:proofErr w:type="spellStart"/>
      <w:r w:rsidRPr="5F8DA705">
        <w:rPr>
          <w:rFonts w:asciiTheme="minorHAnsi" w:hAnsiTheme="minorHAnsi" w:cstheme="minorBidi"/>
          <w:sz w:val="22"/>
          <w:szCs w:val="22"/>
        </w:rPr>
        <w:t>cocor</w:t>
      </w:r>
      <w:proofErr w:type="spellEnd"/>
      <w:r w:rsidRPr="5F8DA705">
        <w:rPr>
          <w:rFonts w:asciiTheme="minorHAnsi" w:hAnsiTheme="minorHAnsi" w:cstheme="minorBidi"/>
          <w:sz w:val="22"/>
          <w:szCs w:val="22"/>
        </w:rPr>
        <w:t xml:space="preserve"> R package v.1.1-4 </w:t>
      </w:r>
      <w:r w:rsidR="002D425C" w:rsidRPr="5F8DA705">
        <w:rPr>
          <w:rFonts w:asciiTheme="minorHAnsi" w:hAnsiTheme="minorHAnsi" w:cstheme="minorBidi"/>
          <w:sz w:val="22"/>
          <w:szCs w:val="22"/>
        </w:rPr>
        <w:fldChar w:fldCharType="begin"/>
      </w:r>
      <w:r w:rsidR="00E865C5">
        <w:rPr>
          <w:rFonts w:asciiTheme="minorHAnsi" w:hAnsiTheme="minorHAnsi" w:cstheme="minorBidi"/>
          <w:sz w:val="22"/>
          <w:szCs w:val="22"/>
        </w:rPr>
        <w:instrText xml:space="preserve"> ADDIN ZOTERO_ITEM CSL_CITATION {"citationID":"XYO588VI","properties":{"formattedCitation":"(63)","plainCitation":"(63)","noteIndex":0},"citationItems":[{"id":19542,"uris":["http://zotero.org/groups/6008588/items/7BGBTIH8"],"itemData":{"id":19542,"type":"software","abstract":"Statistical tests for the comparison between two correlations based on either independent or dependent groups. Dependent correlations can either be overlapping or nonoverlapping. A web interface is available on the website &lt;http://comparingcorrelations.org&gt;. A plugin for the R GUI and IDE RKWard is included. Please install RKWard from &lt;https://rkward.kde.org&gt; to use this feature. The respective R package 'rkward' cannot be installed directly from a repository, as it is a part of RKWard.","license":"GPL (≥ 3)","source":"R-Packages","title":"cocor: Comparing Correlations","title-short":"cocor","URL":"https://cran.r-project.org/web/packages/cocor/index.html","version":"1.1-4","author":[{"family":"Diedenhofen","given":"Birk"}],"accessed":{"date-parts":[["2025",11,18]]},"issued":{"date-parts":[["2022",6,28]]}}}],"schema":"https://github.com/citation-style-language/schema/raw/master/csl-citation.json"} </w:instrText>
      </w:r>
      <w:r w:rsidR="002D425C" w:rsidRPr="5F8DA705">
        <w:rPr>
          <w:rFonts w:asciiTheme="minorHAnsi" w:hAnsiTheme="minorHAnsi" w:cstheme="minorBidi"/>
          <w:sz w:val="22"/>
          <w:szCs w:val="22"/>
        </w:rPr>
        <w:fldChar w:fldCharType="separate"/>
      </w:r>
      <w:r w:rsidR="00E865C5">
        <w:rPr>
          <w:rFonts w:asciiTheme="minorHAnsi" w:hAnsiTheme="minorHAnsi" w:cstheme="minorBidi"/>
          <w:noProof/>
          <w:sz w:val="22"/>
          <w:szCs w:val="22"/>
        </w:rPr>
        <w:t>(63)</w:t>
      </w:r>
      <w:r w:rsidR="002D425C" w:rsidRPr="5F8DA705">
        <w:rPr>
          <w:rFonts w:asciiTheme="minorHAnsi" w:hAnsiTheme="minorHAnsi" w:cstheme="minorBidi"/>
          <w:sz w:val="22"/>
          <w:szCs w:val="22"/>
        </w:rPr>
        <w:fldChar w:fldCharType="end"/>
      </w:r>
      <w:r w:rsidRPr="5F8DA705">
        <w:rPr>
          <w:rFonts w:asciiTheme="minorHAnsi" w:hAnsiTheme="minorHAnsi" w:cstheme="minorBidi"/>
          <w:sz w:val="22"/>
          <w:szCs w:val="22"/>
        </w:rPr>
        <w:t xml:space="preserve"> with FDR correction of p-values. </w:t>
      </w:r>
    </w:p>
    <w:p w14:paraId="19D90AF3" w14:textId="77777777" w:rsidR="00377E49" w:rsidRPr="00D16989" w:rsidRDefault="00377E49" w:rsidP="00547AFA">
      <w:pPr>
        <w:spacing w:line="480" w:lineRule="auto"/>
        <w:rPr>
          <w:rFonts w:asciiTheme="minorHAnsi" w:hAnsiTheme="minorHAnsi" w:cstheme="minorHAnsi"/>
          <w:b/>
          <w:bCs/>
          <w:sz w:val="22"/>
          <w:szCs w:val="22"/>
        </w:rPr>
      </w:pPr>
    </w:p>
    <w:p w14:paraId="076BEFD3" w14:textId="7BBC2532" w:rsidR="00EF0325" w:rsidRPr="00D16989" w:rsidRDefault="00B60506" w:rsidP="004B4F2D">
      <w:pPr>
        <w:spacing w:after="160" w:line="259" w:lineRule="auto"/>
        <w:rPr>
          <w:rFonts w:asciiTheme="minorHAnsi" w:hAnsiTheme="minorHAnsi" w:cstheme="minorHAnsi"/>
          <w:b/>
          <w:bCs/>
          <w:sz w:val="22"/>
          <w:szCs w:val="22"/>
        </w:rPr>
      </w:pPr>
      <w:r w:rsidRPr="00D16989">
        <w:rPr>
          <w:rFonts w:asciiTheme="minorHAnsi" w:hAnsiTheme="minorHAnsi" w:cstheme="minorHAnsi"/>
          <w:b/>
          <w:bCs/>
          <w:sz w:val="22"/>
          <w:szCs w:val="22"/>
        </w:rPr>
        <w:t>Results</w:t>
      </w:r>
    </w:p>
    <w:p w14:paraId="780DB421" w14:textId="5FC3E357" w:rsidR="00377E49" w:rsidRPr="00D16989" w:rsidRDefault="00377E49" w:rsidP="00547AFA">
      <w:pPr>
        <w:spacing w:line="480" w:lineRule="auto"/>
        <w:rPr>
          <w:rFonts w:asciiTheme="minorHAnsi" w:hAnsiTheme="minorHAnsi" w:cstheme="minorHAnsi"/>
          <w:b/>
          <w:bCs/>
          <w:sz w:val="22"/>
          <w:szCs w:val="22"/>
        </w:rPr>
      </w:pPr>
      <w:r w:rsidRPr="00D16989">
        <w:rPr>
          <w:rFonts w:asciiTheme="minorHAnsi" w:hAnsiTheme="minorHAnsi" w:cstheme="minorHAnsi"/>
          <w:b/>
          <w:bCs/>
          <w:sz w:val="22"/>
          <w:szCs w:val="22"/>
        </w:rPr>
        <w:t xml:space="preserve">Effects of </w:t>
      </w:r>
      <w:r w:rsidR="00F446DE" w:rsidRPr="00D16989">
        <w:rPr>
          <w:rFonts w:asciiTheme="minorHAnsi" w:hAnsiTheme="minorHAnsi" w:cstheme="minorHAnsi"/>
          <w:b/>
          <w:bCs/>
          <w:sz w:val="22"/>
          <w:szCs w:val="22"/>
        </w:rPr>
        <w:t>prior</w:t>
      </w:r>
      <w:r w:rsidR="003B7852" w:rsidRPr="00D16989">
        <w:rPr>
          <w:rFonts w:asciiTheme="minorHAnsi" w:hAnsiTheme="minorHAnsi" w:cstheme="minorHAnsi"/>
          <w:b/>
          <w:bCs/>
          <w:sz w:val="22"/>
          <w:szCs w:val="22"/>
        </w:rPr>
        <w:t xml:space="preserve"> Bd </w:t>
      </w:r>
      <w:r w:rsidRPr="00D16989">
        <w:rPr>
          <w:rFonts w:asciiTheme="minorHAnsi" w:hAnsiTheme="minorHAnsi" w:cstheme="minorHAnsi"/>
          <w:b/>
          <w:bCs/>
          <w:sz w:val="22"/>
          <w:szCs w:val="22"/>
        </w:rPr>
        <w:t xml:space="preserve">exposure on </w:t>
      </w:r>
      <w:r w:rsidR="003B7852" w:rsidRPr="00D16989">
        <w:rPr>
          <w:rFonts w:asciiTheme="minorHAnsi" w:hAnsiTheme="minorHAnsi" w:cstheme="minorHAnsi"/>
          <w:b/>
          <w:bCs/>
          <w:sz w:val="22"/>
          <w:szCs w:val="22"/>
        </w:rPr>
        <w:t>re-</w:t>
      </w:r>
      <w:r w:rsidR="000D31D2" w:rsidRPr="00D16989">
        <w:rPr>
          <w:rFonts w:asciiTheme="minorHAnsi" w:hAnsiTheme="minorHAnsi" w:cstheme="minorHAnsi"/>
          <w:b/>
          <w:bCs/>
          <w:sz w:val="22"/>
          <w:szCs w:val="22"/>
        </w:rPr>
        <w:t>exposure</w:t>
      </w:r>
      <w:r w:rsidR="001D33A3" w:rsidRPr="00D16989">
        <w:rPr>
          <w:rFonts w:asciiTheme="minorHAnsi" w:hAnsiTheme="minorHAnsi" w:cstheme="minorHAnsi"/>
          <w:b/>
          <w:bCs/>
          <w:sz w:val="22"/>
          <w:szCs w:val="22"/>
        </w:rPr>
        <w:t xml:space="preserve"> </w:t>
      </w:r>
      <w:r w:rsidR="000D31D2" w:rsidRPr="00D16989">
        <w:rPr>
          <w:rFonts w:asciiTheme="minorHAnsi" w:hAnsiTheme="minorHAnsi" w:cstheme="minorHAnsi"/>
          <w:b/>
          <w:bCs/>
          <w:sz w:val="22"/>
          <w:szCs w:val="22"/>
        </w:rPr>
        <w:t xml:space="preserve">disease </w:t>
      </w:r>
      <w:r w:rsidR="001D33A3" w:rsidRPr="00D16989">
        <w:rPr>
          <w:rFonts w:asciiTheme="minorHAnsi" w:hAnsiTheme="minorHAnsi" w:cstheme="minorHAnsi"/>
          <w:b/>
          <w:bCs/>
          <w:sz w:val="22"/>
          <w:szCs w:val="22"/>
        </w:rPr>
        <w:t>outcomes</w:t>
      </w:r>
    </w:p>
    <w:p w14:paraId="182B7434" w14:textId="4F094784" w:rsidR="00267142" w:rsidRDefault="41F84954" w:rsidP="2C51EBB5">
      <w:pPr>
        <w:spacing w:line="480" w:lineRule="auto"/>
        <w:rPr>
          <w:rFonts w:asciiTheme="minorHAnsi" w:hAnsiTheme="minorHAnsi" w:cstheme="minorBidi"/>
          <w:sz w:val="22"/>
          <w:szCs w:val="22"/>
        </w:rPr>
      </w:pPr>
      <w:r w:rsidRPr="41F84954">
        <w:rPr>
          <w:rFonts w:asciiTheme="minorHAnsi" w:hAnsiTheme="minorHAnsi" w:cstheme="minorBidi"/>
          <w:sz w:val="22"/>
          <w:szCs w:val="22"/>
        </w:rPr>
        <w:t xml:space="preserve">Two weeks following the second Bd treatment, all Bd-exposed animals tested positive for Bd, albeit with great variability, ranging from 198 to 21 940 zoospore equivalents with a mean of 5 278 +/- SD 5 419. After the second Bd treatment, all Bd-exposed animals succumbed to infections (Fig. 2a) whereas all mock-exposed animals remained Bd negative and survived. The Cox Proportional Hazard model indicated that Bd loads at day 14 following the second infection was the most significant variable </w:t>
      </w:r>
      <w:r w:rsidRPr="41F84954">
        <w:rPr>
          <w:rFonts w:asciiTheme="minorHAnsi" w:hAnsiTheme="minorHAnsi" w:cstheme="minorBidi"/>
          <w:sz w:val="22"/>
          <w:szCs w:val="22"/>
        </w:rPr>
        <w:lastRenderedPageBreak/>
        <w:t>explaining death (Table 1). This is unsurprising as the most heavily infected animals succumbed more rapidly than those with lower disease loads. However, there was a significant and negative coefficient associated with prior infection, implying that prior infected animals (Bd-Bd treatment group) were negatively affected by their prior infection. There was also a positive correlation between Bd load at first infection and subsequent infection ((r</w:t>
      </w:r>
      <w:r w:rsidRPr="41F84954">
        <w:rPr>
          <w:rFonts w:asciiTheme="minorHAnsi" w:hAnsiTheme="minorHAnsi" w:cstheme="minorBidi"/>
          <w:sz w:val="22"/>
          <w:szCs w:val="22"/>
          <w:vertAlign w:val="superscript"/>
        </w:rPr>
        <w:t>2</w:t>
      </w:r>
      <w:r w:rsidRPr="41F84954">
        <w:rPr>
          <w:rFonts w:asciiTheme="minorHAnsi" w:hAnsiTheme="minorHAnsi" w:cstheme="minorBidi"/>
          <w:sz w:val="22"/>
          <w:szCs w:val="22"/>
        </w:rPr>
        <w:t xml:space="preserve"> = 0.28), Supplemental Fig. S1). </w:t>
      </w:r>
      <w:r w:rsidR="008076BA">
        <w:rPr>
          <w:rFonts w:asciiTheme="minorHAnsi" w:hAnsiTheme="minorHAnsi" w:cstheme="minorBidi"/>
          <w:sz w:val="22"/>
          <w:szCs w:val="22"/>
        </w:rPr>
        <w:t>Previously infected re-challenged</w:t>
      </w:r>
      <w:r w:rsidRPr="41F84954">
        <w:rPr>
          <w:rFonts w:asciiTheme="minorHAnsi" w:hAnsiTheme="minorHAnsi" w:cstheme="minorBidi"/>
          <w:sz w:val="22"/>
          <w:szCs w:val="22"/>
        </w:rPr>
        <w:t xml:space="preserve"> animals initially died faster than naïve animals (Fig. 2a</w:t>
      </w:r>
      <w:r w:rsidR="00B86788">
        <w:rPr>
          <w:rFonts w:asciiTheme="minorHAnsi" w:hAnsiTheme="minorHAnsi" w:cstheme="minorBidi"/>
          <w:sz w:val="22"/>
          <w:szCs w:val="22"/>
        </w:rPr>
        <w:t>, Table 1</w:t>
      </w:r>
      <w:r w:rsidRPr="41F84954">
        <w:rPr>
          <w:rFonts w:asciiTheme="minorHAnsi" w:hAnsiTheme="minorHAnsi" w:cstheme="minorBidi"/>
          <w:sz w:val="22"/>
          <w:szCs w:val="22"/>
        </w:rPr>
        <w:t xml:space="preserve">) and their Bd loads increased more rapidly with infection time (Fig 2b), indicating that prior infection exacerbated re-infections. The apparent dip in Bd infections in the prior infection group towards the end of the experiment (Fig. 2b) is likely due to some highly infected animals dying and being removed from the dwindling pool of surviving animals.  </w:t>
      </w:r>
    </w:p>
    <w:p w14:paraId="5E81B9B2" w14:textId="77777777" w:rsidR="000452F7" w:rsidRDefault="000452F7" w:rsidP="2C51EBB5">
      <w:pPr>
        <w:spacing w:line="480" w:lineRule="auto"/>
        <w:rPr>
          <w:rFonts w:asciiTheme="minorHAnsi" w:hAnsiTheme="minorHAnsi" w:cstheme="minorBidi"/>
          <w:sz w:val="22"/>
          <w:szCs w:val="22"/>
        </w:rPr>
      </w:pPr>
    </w:p>
    <w:p w14:paraId="29ABB014" w14:textId="6FE942A2" w:rsidR="00267142" w:rsidRPr="000452F7" w:rsidRDefault="000452F7" w:rsidP="0093255D">
      <w:pPr>
        <w:spacing w:line="480" w:lineRule="auto"/>
        <w:rPr>
          <w:rFonts w:asciiTheme="minorHAnsi" w:hAnsiTheme="minorHAnsi" w:cstheme="minorBidi"/>
          <w:sz w:val="22"/>
          <w:szCs w:val="22"/>
        </w:rPr>
      </w:pPr>
      <w:r w:rsidRPr="000452F7">
        <w:rPr>
          <w:rFonts w:asciiTheme="minorHAnsi" w:hAnsiTheme="minorHAnsi" w:cstheme="minorBidi"/>
          <w:sz w:val="22"/>
          <w:szCs w:val="22"/>
        </w:rPr>
        <w:t>Both infection specific and pre-exposure specific genes were heavily enriched for immune-related GO terms (</w:t>
      </w:r>
      <w:r>
        <w:rPr>
          <w:rFonts w:asciiTheme="minorHAnsi" w:hAnsiTheme="minorHAnsi" w:cstheme="minorBidi"/>
          <w:sz w:val="22"/>
          <w:szCs w:val="22"/>
        </w:rPr>
        <w:t>Supplementa</w:t>
      </w:r>
      <w:r w:rsidR="00B86788">
        <w:rPr>
          <w:rFonts w:asciiTheme="minorHAnsi" w:hAnsiTheme="minorHAnsi" w:cstheme="minorBidi"/>
          <w:sz w:val="22"/>
          <w:szCs w:val="22"/>
        </w:rPr>
        <w:t>l</w:t>
      </w:r>
      <w:r>
        <w:rPr>
          <w:rFonts w:asciiTheme="minorHAnsi" w:hAnsiTheme="minorHAnsi" w:cstheme="minorBidi"/>
          <w:sz w:val="22"/>
          <w:szCs w:val="22"/>
        </w:rPr>
        <w:t xml:space="preserve"> </w:t>
      </w:r>
      <w:r w:rsidRPr="000452F7">
        <w:rPr>
          <w:rFonts w:asciiTheme="minorHAnsi" w:hAnsiTheme="minorHAnsi" w:cstheme="minorBidi"/>
          <w:sz w:val="22"/>
          <w:szCs w:val="22"/>
        </w:rPr>
        <w:t>Table S</w:t>
      </w:r>
      <w:r w:rsidR="00F76448">
        <w:rPr>
          <w:rFonts w:asciiTheme="minorHAnsi" w:hAnsiTheme="minorHAnsi" w:cstheme="minorBidi"/>
          <w:sz w:val="22"/>
          <w:szCs w:val="22"/>
        </w:rPr>
        <w:t>2</w:t>
      </w:r>
      <w:r>
        <w:rPr>
          <w:rFonts w:asciiTheme="minorHAnsi" w:hAnsiTheme="minorHAnsi" w:cstheme="minorBidi"/>
          <w:sz w:val="22"/>
          <w:szCs w:val="22"/>
        </w:rPr>
        <w:t xml:space="preserve">) </w:t>
      </w:r>
      <w:r w:rsidRPr="000452F7">
        <w:rPr>
          <w:rFonts w:asciiTheme="minorHAnsi" w:hAnsiTheme="minorHAnsi" w:cstheme="minorBidi"/>
          <w:sz w:val="22"/>
          <w:szCs w:val="22"/>
        </w:rPr>
        <w:t xml:space="preserve">including those related to innate immune responses (e.g. pre-exposure specific: “cytokine production involved in immune response”; infection specific: “positive regulation of inflammatory response”) and interleukin signaling (e.g. pre-exposure specific: “interleukin-1 beta production”; infection specific: “interleukin-6-mediated signaling pathway”) in both sets. Additionally, pre-exposure specific genes were enriched for several GO term related to adaptive immunity (e.g. “positive regulation of adaptive immune response based on somatic recombination of immune receptors built from immunoglobulin superfamily domains”; “T cell receptor signaling pathway”).  Naïve specific genes were not enriched for any GO terms following adjustment for multiple testing. </w:t>
      </w:r>
    </w:p>
    <w:p w14:paraId="046F768B" w14:textId="13508178" w:rsidR="00E86407" w:rsidRPr="00D16989" w:rsidRDefault="00E86407" w:rsidP="1542F15A">
      <w:pPr>
        <w:spacing w:after="160" w:line="259" w:lineRule="auto"/>
        <w:rPr>
          <w:rFonts w:asciiTheme="minorHAnsi" w:hAnsiTheme="minorHAnsi" w:cstheme="minorBidi"/>
          <w:b/>
          <w:bCs/>
          <w:sz w:val="22"/>
          <w:szCs w:val="22"/>
        </w:rPr>
      </w:pPr>
      <w:r w:rsidRPr="1542F15A">
        <w:rPr>
          <w:rFonts w:asciiTheme="minorHAnsi" w:hAnsiTheme="minorHAnsi" w:cstheme="minorBidi"/>
          <w:b/>
          <w:bCs/>
          <w:sz w:val="22"/>
          <w:szCs w:val="22"/>
        </w:rPr>
        <w:br w:type="page"/>
      </w:r>
      <w:r w:rsidR="1542F15A" w:rsidRPr="1542F15A">
        <w:rPr>
          <w:rFonts w:asciiTheme="minorHAnsi" w:hAnsiTheme="minorHAnsi" w:cstheme="minorBidi"/>
          <w:b/>
          <w:bCs/>
          <w:sz w:val="22"/>
          <w:szCs w:val="22"/>
        </w:rPr>
        <w:lastRenderedPageBreak/>
        <w:t xml:space="preserve">Table 1. </w:t>
      </w:r>
      <w:r w:rsidR="1542F15A" w:rsidRPr="1542F15A">
        <w:rPr>
          <w:rFonts w:asciiTheme="minorHAnsi" w:hAnsiTheme="minorHAnsi" w:cstheme="minorBidi"/>
          <w:sz w:val="22"/>
          <w:szCs w:val="22"/>
        </w:rPr>
        <w:t>Cox Proportional Hazards Model showing the influence of predictors on the mortality curve. Hazard ratio is indicated by the exponential (exp) of the coefficient (</w:t>
      </w:r>
      <w:proofErr w:type="spellStart"/>
      <w:r w:rsidR="1542F15A" w:rsidRPr="1542F15A">
        <w:rPr>
          <w:rFonts w:asciiTheme="minorHAnsi" w:hAnsiTheme="minorHAnsi" w:cstheme="minorBidi"/>
          <w:sz w:val="22"/>
          <w:szCs w:val="22"/>
        </w:rPr>
        <w:t>coef</w:t>
      </w:r>
      <w:proofErr w:type="spellEnd"/>
      <w:r w:rsidR="1542F15A" w:rsidRPr="1542F15A">
        <w:rPr>
          <w:rFonts w:asciiTheme="minorHAnsi" w:hAnsiTheme="minorHAnsi" w:cstheme="minorBidi"/>
          <w:sz w:val="22"/>
          <w:szCs w:val="22"/>
        </w:rPr>
        <w:t xml:space="preserve">). </w:t>
      </w:r>
      <w:r w:rsidR="00205DA1">
        <w:rPr>
          <w:rFonts w:asciiTheme="minorHAnsi" w:hAnsiTheme="minorHAnsi" w:cstheme="minorBidi"/>
          <w:sz w:val="22"/>
          <w:szCs w:val="22"/>
        </w:rPr>
        <w:t xml:space="preserve">Standard error (SE) of coefficients </w:t>
      </w:r>
      <w:proofErr w:type="gramStart"/>
      <w:r w:rsidR="00205DA1">
        <w:rPr>
          <w:rFonts w:asciiTheme="minorHAnsi" w:hAnsiTheme="minorHAnsi" w:cstheme="minorBidi"/>
          <w:sz w:val="22"/>
          <w:szCs w:val="22"/>
        </w:rPr>
        <w:t>are</w:t>
      </w:r>
      <w:proofErr w:type="gramEnd"/>
      <w:r w:rsidR="00205DA1">
        <w:rPr>
          <w:rFonts w:asciiTheme="minorHAnsi" w:hAnsiTheme="minorHAnsi" w:cstheme="minorBidi"/>
          <w:sz w:val="22"/>
          <w:szCs w:val="22"/>
        </w:rPr>
        <w:t xml:space="preserve"> also reported along with the z</w:t>
      </w:r>
      <w:r w:rsidR="006D4786">
        <w:rPr>
          <w:rFonts w:asciiTheme="minorHAnsi" w:hAnsiTheme="minorHAnsi" w:cstheme="minorBidi"/>
          <w:sz w:val="22"/>
          <w:szCs w:val="22"/>
        </w:rPr>
        <w:t>-</w:t>
      </w:r>
      <w:r w:rsidR="00205DA1">
        <w:rPr>
          <w:rFonts w:asciiTheme="minorHAnsi" w:hAnsiTheme="minorHAnsi" w:cstheme="minorBidi"/>
          <w:sz w:val="22"/>
          <w:szCs w:val="22"/>
        </w:rPr>
        <w:t>score from the model</w:t>
      </w:r>
      <w:r w:rsidR="002A618B">
        <w:rPr>
          <w:rFonts w:asciiTheme="minorHAnsi" w:hAnsiTheme="minorHAnsi" w:cstheme="minorBidi"/>
          <w:sz w:val="22"/>
          <w:szCs w:val="22"/>
        </w:rPr>
        <w:t xml:space="preserve"> estimates for each covariate</w:t>
      </w:r>
      <w:r w:rsidR="00205DA1">
        <w:rPr>
          <w:rFonts w:asciiTheme="minorHAnsi" w:hAnsiTheme="minorHAnsi" w:cstheme="minorBidi"/>
          <w:sz w:val="22"/>
          <w:szCs w:val="22"/>
        </w:rPr>
        <w:t xml:space="preserve">. </w:t>
      </w:r>
      <w:r w:rsidR="1542F15A" w:rsidRPr="1542F15A">
        <w:rPr>
          <w:rFonts w:asciiTheme="minorHAnsi" w:hAnsiTheme="minorHAnsi" w:cstheme="minorBidi"/>
          <w:sz w:val="22"/>
          <w:szCs w:val="22"/>
        </w:rPr>
        <w:t>Bd loads were standardized prior to running the model to allow for hazard ratio comparisons, which indicated Bd load at first infection had the strongest effect on the mortality curve followed by Bd load at second infection.</w:t>
      </w:r>
    </w:p>
    <w:tbl>
      <w:tblPr>
        <w:tblW w:w="9182" w:type="dxa"/>
        <w:tblLook w:val="04A0" w:firstRow="1" w:lastRow="0" w:firstColumn="1" w:lastColumn="0" w:noHBand="0" w:noVBand="1"/>
      </w:tblPr>
      <w:tblGrid>
        <w:gridCol w:w="2880"/>
        <w:gridCol w:w="1170"/>
        <w:gridCol w:w="1260"/>
        <w:gridCol w:w="1260"/>
        <w:gridCol w:w="990"/>
        <w:gridCol w:w="1622"/>
      </w:tblGrid>
      <w:tr w:rsidR="00E86407" w:rsidRPr="00D16989" w14:paraId="0060946A" w14:textId="77777777" w:rsidTr="33A5E6DB">
        <w:trPr>
          <w:trHeight w:val="320"/>
        </w:trPr>
        <w:tc>
          <w:tcPr>
            <w:tcW w:w="2880" w:type="dxa"/>
            <w:tcBorders>
              <w:top w:val="single" w:sz="4" w:space="0" w:color="auto"/>
              <w:left w:val="nil"/>
              <w:bottom w:val="single" w:sz="4" w:space="0" w:color="auto"/>
              <w:right w:val="nil"/>
            </w:tcBorders>
            <w:noWrap/>
            <w:vAlign w:val="bottom"/>
            <w:hideMark/>
          </w:tcPr>
          <w:p w14:paraId="432359D5" w14:textId="77777777" w:rsidR="00E86407" w:rsidRPr="00D16989" w:rsidRDefault="00E86407" w:rsidP="00A834C1">
            <w:pPr>
              <w:spacing w:line="480" w:lineRule="auto"/>
              <w:rPr>
                <w:rFonts w:asciiTheme="minorHAnsi" w:hAnsiTheme="minorHAnsi" w:cstheme="minorHAnsi"/>
                <w:b/>
                <w:bCs/>
                <w:color w:val="000000"/>
                <w:sz w:val="22"/>
                <w:szCs w:val="22"/>
              </w:rPr>
            </w:pPr>
            <w:r w:rsidRPr="00D16989">
              <w:rPr>
                <w:rFonts w:asciiTheme="minorHAnsi" w:hAnsiTheme="minorHAnsi" w:cstheme="minorHAnsi"/>
                <w:b/>
                <w:bCs/>
                <w:color w:val="000000"/>
                <w:sz w:val="22"/>
                <w:szCs w:val="22"/>
              </w:rPr>
              <w:t xml:space="preserve">                        </w:t>
            </w:r>
          </w:p>
        </w:tc>
        <w:tc>
          <w:tcPr>
            <w:tcW w:w="1170" w:type="dxa"/>
            <w:tcBorders>
              <w:top w:val="single" w:sz="4" w:space="0" w:color="auto"/>
              <w:left w:val="nil"/>
              <w:bottom w:val="single" w:sz="4" w:space="0" w:color="auto"/>
              <w:right w:val="nil"/>
            </w:tcBorders>
            <w:noWrap/>
            <w:vAlign w:val="bottom"/>
            <w:hideMark/>
          </w:tcPr>
          <w:p w14:paraId="3E3A2815" w14:textId="5941D943" w:rsidR="00E86407" w:rsidRPr="00D16989" w:rsidRDefault="57233307" w:rsidP="57233307">
            <w:pPr>
              <w:spacing w:line="480" w:lineRule="auto"/>
              <w:rPr>
                <w:rFonts w:asciiTheme="minorHAnsi" w:hAnsiTheme="minorHAnsi" w:cstheme="minorBidi"/>
                <w:b/>
                <w:bCs/>
                <w:color w:val="000000"/>
                <w:sz w:val="22"/>
                <w:szCs w:val="22"/>
              </w:rPr>
            </w:pPr>
            <w:r w:rsidRPr="57233307">
              <w:rPr>
                <w:rFonts w:asciiTheme="minorHAnsi" w:hAnsiTheme="minorHAnsi" w:cstheme="minorBidi"/>
                <w:b/>
                <w:bCs/>
                <w:color w:val="000000" w:themeColor="text1"/>
                <w:sz w:val="22"/>
                <w:szCs w:val="22"/>
              </w:rPr>
              <w:t xml:space="preserve"> </w:t>
            </w:r>
            <w:proofErr w:type="spellStart"/>
            <w:r w:rsidRPr="57233307">
              <w:rPr>
                <w:rFonts w:asciiTheme="minorHAnsi" w:hAnsiTheme="minorHAnsi" w:cstheme="minorBidi"/>
                <w:b/>
                <w:bCs/>
                <w:color w:val="000000" w:themeColor="text1"/>
                <w:sz w:val="22"/>
                <w:szCs w:val="22"/>
              </w:rPr>
              <w:t>coef</w:t>
            </w:r>
            <w:proofErr w:type="spellEnd"/>
            <w:r w:rsidRPr="57233307">
              <w:rPr>
                <w:rFonts w:asciiTheme="minorHAnsi" w:hAnsiTheme="minorHAnsi" w:cstheme="minorBidi"/>
                <w:b/>
                <w:bCs/>
                <w:color w:val="000000" w:themeColor="text1"/>
                <w:sz w:val="22"/>
                <w:szCs w:val="22"/>
              </w:rPr>
              <w:t xml:space="preserve"> </w:t>
            </w:r>
          </w:p>
        </w:tc>
        <w:tc>
          <w:tcPr>
            <w:tcW w:w="1260" w:type="dxa"/>
            <w:tcBorders>
              <w:top w:val="single" w:sz="4" w:space="0" w:color="auto"/>
              <w:left w:val="nil"/>
              <w:bottom w:val="single" w:sz="4" w:space="0" w:color="auto"/>
              <w:right w:val="nil"/>
            </w:tcBorders>
            <w:noWrap/>
            <w:vAlign w:val="bottom"/>
            <w:hideMark/>
          </w:tcPr>
          <w:p w14:paraId="58207017" w14:textId="7098B2AD" w:rsidR="00E86407" w:rsidRPr="00D16989" w:rsidRDefault="57233307" w:rsidP="57233307">
            <w:pPr>
              <w:spacing w:line="480" w:lineRule="auto"/>
              <w:rPr>
                <w:rFonts w:asciiTheme="minorHAnsi" w:hAnsiTheme="minorHAnsi" w:cstheme="minorBidi"/>
                <w:b/>
                <w:bCs/>
                <w:color w:val="000000"/>
                <w:sz w:val="22"/>
                <w:szCs w:val="22"/>
              </w:rPr>
            </w:pPr>
            <w:r w:rsidRPr="57233307">
              <w:rPr>
                <w:rFonts w:asciiTheme="minorHAnsi" w:hAnsiTheme="minorHAnsi" w:cstheme="minorBidi"/>
                <w:b/>
                <w:bCs/>
                <w:color w:val="000000" w:themeColor="text1"/>
                <w:sz w:val="22"/>
                <w:szCs w:val="22"/>
              </w:rPr>
              <w:t>exp(</w:t>
            </w:r>
            <w:proofErr w:type="spellStart"/>
            <w:r w:rsidRPr="57233307">
              <w:rPr>
                <w:rFonts w:asciiTheme="minorHAnsi" w:hAnsiTheme="minorHAnsi" w:cstheme="minorBidi"/>
                <w:b/>
                <w:bCs/>
                <w:color w:val="000000" w:themeColor="text1"/>
                <w:sz w:val="22"/>
                <w:szCs w:val="22"/>
              </w:rPr>
              <w:t>coef</w:t>
            </w:r>
            <w:proofErr w:type="spellEnd"/>
            <w:r w:rsidRPr="57233307">
              <w:rPr>
                <w:rFonts w:asciiTheme="minorHAnsi" w:hAnsiTheme="minorHAnsi" w:cstheme="minorBidi"/>
                <w:b/>
                <w:bCs/>
                <w:color w:val="000000" w:themeColor="text1"/>
                <w:sz w:val="22"/>
                <w:szCs w:val="22"/>
              </w:rPr>
              <w:t>)</w:t>
            </w:r>
          </w:p>
        </w:tc>
        <w:tc>
          <w:tcPr>
            <w:tcW w:w="1260" w:type="dxa"/>
            <w:tcBorders>
              <w:top w:val="single" w:sz="4" w:space="0" w:color="auto"/>
              <w:left w:val="nil"/>
              <w:bottom w:val="single" w:sz="4" w:space="0" w:color="auto"/>
              <w:right w:val="nil"/>
            </w:tcBorders>
            <w:noWrap/>
            <w:vAlign w:val="bottom"/>
            <w:hideMark/>
          </w:tcPr>
          <w:p w14:paraId="6F79009D" w14:textId="7FF36DC3" w:rsidR="00E86407" w:rsidRPr="00D16989" w:rsidRDefault="57233307" w:rsidP="57233307">
            <w:pPr>
              <w:spacing w:line="480" w:lineRule="auto"/>
              <w:rPr>
                <w:rFonts w:asciiTheme="minorHAnsi" w:hAnsiTheme="minorHAnsi" w:cstheme="minorBidi"/>
                <w:b/>
                <w:bCs/>
                <w:color w:val="000000"/>
                <w:sz w:val="22"/>
                <w:szCs w:val="22"/>
              </w:rPr>
            </w:pPr>
            <w:r w:rsidRPr="57233307">
              <w:rPr>
                <w:rFonts w:asciiTheme="minorHAnsi" w:hAnsiTheme="minorHAnsi" w:cstheme="minorBidi"/>
                <w:b/>
                <w:bCs/>
                <w:color w:val="000000" w:themeColor="text1"/>
                <w:sz w:val="22"/>
                <w:szCs w:val="22"/>
              </w:rPr>
              <w:t xml:space="preserve">  </w:t>
            </w:r>
            <w:proofErr w:type="gramStart"/>
            <w:r w:rsidRPr="57233307">
              <w:rPr>
                <w:rFonts w:asciiTheme="minorHAnsi" w:hAnsiTheme="minorHAnsi" w:cstheme="minorBidi"/>
                <w:b/>
                <w:bCs/>
                <w:color w:val="000000" w:themeColor="text1"/>
                <w:sz w:val="22"/>
                <w:szCs w:val="22"/>
              </w:rPr>
              <w:t>SE(</w:t>
            </w:r>
            <w:proofErr w:type="spellStart"/>
            <w:r w:rsidRPr="57233307">
              <w:rPr>
                <w:rFonts w:asciiTheme="minorHAnsi" w:hAnsiTheme="minorHAnsi" w:cstheme="minorBidi"/>
                <w:b/>
                <w:bCs/>
                <w:color w:val="000000" w:themeColor="text1"/>
                <w:sz w:val="22"/>
                <w:szCs w:val="22"/>
              </w:rPr>
              <w:t>coef</w:t>
            </w:r>
            <w:proofErr w:type="spellEnd"/>
            <w:r w:rsidRPr="57233307">
              <w:rPr>
                <w:rFonts w:asciiTheme="minorHAnsi" w:hAnsiTheme="minorHAnsi" w:cstheme="minorBidi"/>
                <w:b/>
                <w:bCs/>
                <w:color w:val="000000" w:themeColor="text1"/>
                <w:sz w:val="22"/>
                <w:szCs w:val="22"/>
              </w:rPr>
              <w:t xml:space="preserve">)   </w:t>
            </w:r>
            <w:proofErr w:type="gramEnd"/>
            <w:r w:rsidRPr="57233307">
              <w:rPr>
                <w:rFonts w:asciiTheme="minorHAnsi" w:hAnsiTheme="minorHAnsi" w:cstheme="minorBidi"/>
                <w:b/>
                <w:bCs/>
                <w:color w:val="000000" w:themeColor="text1"/>
                <w:sz w:val="22"/>
                <w:szCs w:val="22"/>
              </w:rPr>
              <w:t xml:space="preserve">  </w:t>
            </w:r>
          </w:p>
        </w:tc>
        <w:tc>
          <w:tcPr>
            <w:tcW w:w="990" w:type="dxa"/>
            <w:tcBorders>
              <w:top w:val="single" w:sz="4" w:space="0" w:color="auto"/>
              <w:left w:val="nil"/>
              <w:bottom w:val="single" w:sz="4" w:space="0" w:color="auto"/>
              <w:right w:val="nil"/>
            </w:tcBorders>
            <w:noWrap/>
            <w:vAlign w:val="bottom"/>
            <w:hideMark/>
          </w:tcPr>
          <w:p w14:paraId="10197435" w14:textId="77777777" w:rsidR="00E86407" w:rsidRPr="00D16989" w:rsidRDefault="00E86407" w:rsidP="00A834C1">
            <w:pPr>
              <w:spacing w:line="480" w:lineRule="auto"/>
              <w:rPr>
                <w:rFonts w:asciiTheme="minorHAnsi" w:hAnsiTheme="minorHAnsi" w:cstheme="minorHAnsi"/>
                <w:b/>
                <w:bCs/>
                <w:color w:val="000000"/>
                <w:sz w:val="22"/>
                <w:szCs w:val="22"/>
              </w:rPr>
            </w:pPr>
            <w:r w:rsidRPr="00D16989">
              <w:rPr>
                <w:rFonts w:asciiTheme="minorHAnsi" w:hAnsiTheme="minorHAnsi" w:cstheme="minorHAnsi"/>
                <w:b/>
                <w:bCs/>
                <w:color w:val="000000"/>
                <w:sz w:val="22"/>
                <w:szCs w:val="22"/>
              </w:rPr>
              <w:t>z</w:t>
            </w:r>
          </w:p>
        </w:tc>
        <w:tc>
          <w:tcPr>
            <w:tcW w:w="1622" w:type="dxa"/>
            <w:tcBorders>
              <w:top w:val="single" w:sz="4" w:space="0" w:color="auto"/>
              <w:left w:val="nil"/>
              <w:bottom w:val="single" w:sz="4" w:space="0" w:color="auto"/>
              <w:right w:val="nil"/>
            </w:tcBorders>
            <w:noWrap/>
            <w:vAlign w:val="bottom"/>
            <w:hideMark/>
          </w:tcPr>
          <w:p w14:paraId="3B8BE1C2" w14:textId="59B0B803" w:rsidR="00E86407" w:rsidRPr="00D16989" w:rsidRDefault="57233307" w:rsidP="57233307">
            <w:pPr>
              <w:spacing w:line="480" w:lineRule="auto"/>
              <w:rPr>
                <w:rFonts w:asciiTheme="minorHAnsi" w:hAnsiTheme="minorHAnsi" w:cstheme="minorBidi"/>
                <w:b/>
                <w:bCs/>
                <w:color w:val="000000"/>
                <w:sz w:val="22"/>
                <w:szCs w:val="22"/>
              </w:rPr>
            </w:pPr>
            <w:r w:rsidRPr="57233307">
              <w:rPr>
                <w:rFonts w:asciiTheme="minorHAnsi" w:hAnsiTheme="minorHAnsi" w:cstheme="minorBidi"/>
                <w:b/>
                <w:bCs/>
                <w:color w:val="000000" w:themeColor="text1"/>
                <w:sz w:val="22"/>
                <w:szCs w:val="22"/>
              </w:rPr>
              <w:t xml:space="preserve"> p-value    </w:t>
            </w:r>
          </w:p>
        </w:tc>
      </w:tr>
      <w:tr w:rsidR="00E86407" w:rsidRPr="00D16989" w14:paraId="6154FF8F" w14:textId="77777777" w:rsidTr="33A5E6DB">
        <w:trPr>
          <w:trHeight w:val="320"/>
        </w:trPr>
        <w:tc>
          <w:tcPr>
            <w:tcW w:w="2880" w:type="dxa"/>
            <w:tcBorders>
              <w:top w:val="nil"/>
              <w:left w:val="nil"/>
              <w:bottom w:val="nil"/>
              <w:right w:val="nil"/>
            </w:tcBorders>
            <w:noWrap/>
            <w:vAlign w:val="bottom"/>
            <w:hideMark/>
          </w:tcPr>
          <w:p w14:paraId="142A5E2F" w14:textId="522EA376" w:rsidR="00E86407" w:rsidRPr="00D16989" w:rsidRDefault="00E86407" w:rsidP="00A834C1">
            <w:pPr>
              <w:spacing w:line="480" w:lineRule="auto"/>
              <w:rPr>
                <w:rFonts w:asciiTheme="minorHAnsi" w:hAnsiTheme="minorHAnsi" w:cstheme="minorHAnsi"/>
                <w:b/>
                <w:bCs/>
                <w:color w:val="000000"/>
                <w:sz w:val="22"/>
                <w:szCs w:val="22"/>
              </w:rPr>
            </w:pPr>
            <w:r w:rsidRPr="00D16989">
              <w:rPr>
                <w:rFonts w:asciiTheme="minorHAnsi" w:hAnsiTheme="minorHAnsi" w:cstheme="minorHAnsi"/>
                <w:b/>
                <w:bCs/>
                <w:color w:val="000000"/>
                <w:sz w:val="22"/>
                <w:szCs w:val="22"/>
              </w:rPr>
              <w:t>Prior</w:t>
            </w:r>
            <w:r w:rsidR="00593D14" w:rsidRPr="00D16989">
              <w:rPr>
                <w:rFonts w:asciiTheme="minorHAnsi" w:hAnsiTheme="minorHAnsi" w:cstheme="minorHAnsi"/>
                <w:b/>
                <w:bCs/>
                <w:color w:val="000000"/>
                <w:sz w:val="22"/>
                <w:szCs w:val="22"/>
              </w:rPr>
              <w:t xml:space="preserve"> infection</w:t>
            </w:r>
            <w:r w:rsidRPr="00D16989">
              <w:rPr>
                <w:rFonts w:asciiTheme="minorHAnsi" w:hAnsiTheme="minorHAnsi" w:cstheme="minorHAnsi"/>
                <w:b/>
                <w:bCs/>
                <w:color w:val="000000"/>
                <w:sz w:val="22"/>
                <w:szCs w:val="22"/>
              </w:rPr>
              <w:t xml:space="preserve"> </w:t>
            </w:r>
          </w:p>
        </w:tc>
        <w:tc>
          <w:tcPr>
            <w:tcW w:w="1170" w:type="dxa"/>
            <w:tcBorders>
              <w:top w:val="nil"/>
              <w:left w:val="nil"/>
              <w:bottom w:val="nil"/>
              <w:right w:val="nil"/>
            </w:tcBorders>
            <w:noWrap/>
            <w:vAlign w:val="bottom"/>
            <w:hideMark/>
          </w:tcPr>
          <w:p w14:paraId="386BE2FB" w14:textId="5580FA6A" w:rsidR="00E86407" w:rsidRPr="00D16989" w:rsidRDefault="00E86407" w:rsidP="00A834C1">
            <w:pPr>
              <w:spacing w:line="480" w:lineRule="auto"/>
              <w:rPr>
                <w:rFonts w:asciiTheme="minorHAnsi" w:hAnsiTheme="minorHAnsi" w:cstheme="minorHAnsi"/>
                <w:color w:val="000000"/>
                <w:sz w:val="22"/>
                <w:szCs w:val="22"/>
              </w:rPr>
            </w:pPr>
            <w:r w:rsidRPr="00D16989">
              <w:rPr>
                <w:rFonts w:asciiTheme="minorHAnsi" w:hAnsiTheme="minorHAnsi" w:cstheme="minorHAnsi"/>
                <w:color w:val="000000"/>
                <w:sz w:val="22"/>
                <w:szCs w:val="22"/>
              </w:rPr>
              <w:t>-5.41</w:t>
            </w:r>
          </w:p>
        </w:tc>
        <w:tc>
          <w:tcPr>
            <w:tcW w:w="1260" w:type="dxa"/>
            <w:tcBorders>
              <w:top w:val="nil"/>
              <w:left w:val="nil"/>
              <w:bottom w:val="nil"/>
              <w:right w:val="nil"/>
            </w:tcBorders>
            <w:noWrap/>
            <w:vAlign w:val="bottom"/>
            <w:hideMark/>
          </w:tcPr>
          <w:p w14:paraId="1DEF77FB" w14:textId="41C8F58D" w:rsidR="00E86407" w:rsidRPr="00D16989" w:rsidRDefault="00422901" w:rsidP="00A834C1">
            <w:pPr>
              <w:spacing w:line="480" w:lineRule="auto"/>
              <w:rPr>
                <w:rFonts w:asciiTheme="minorHAnsi" w:hAnsiTheme="minorHAnsi" w:cstheme="minorHAnsi"/>
                <w:color w:val="000000"/>
                <w:sz w:val="22"/>
                <w:szCs w:val="22"/>
              </w:rPr>
            </w:pPr>
            <w:r>
              <w:rPr>
                <w:rFonts w:asciiTheme="minorHAnsi" w:hAnsiTheme="minorHAnsi" w:cstheme="minorHAnsi"/>
                <w:color w:val="000000"/>
                <w:sz w:val="22"/>
                <w:szCs w:val="22"/>
              </w:rPr>
              <w:t>224.05</w:t>
            </w:r>
          </w:p>
        </w:tc>
        <w:tc>
          <w:tcPr>
            <w:tcW w:w="1260" w:type="dxa"/>
            <w:tcBorders>
              <w:top w:val="nil"/>
              <w:left w:val="nil"/>
              <w:bottom w:val="nil"/>
              <w:right w:val="nil"/>
            </w:tcBorders>
            <w:noWrap/>
            <w:vAlign w:val="bottom"/>
            <w:hideMark/>
          </w:tcPr>
          <w:p w14:paraId="06DA981A" w14:textId="4FAADF2F" w:rsidR="00E86407" w:rsidRPr="00D16989" w:rsidRDefault="00E86407" w:rsidP="00A834C1">
            <w:pPr>
              <w:spacing w:line="480" w:lineRule="auto"/>
              <w:rPr>
                <w:rFonts w:asciiTheme="minorHAnsi" w:hAnsiTheme="minorHAnsi" w:cstheme="minorHAnsi"/>
                <w:color w:val="000000"/>
                <w:sz w:val="22"/>
                <w:szCs w:val="22"/>
              </w:rPr>
            </w:pPr>
            <w:r w:rsidRPr="00D16989">
              <w:rPr>
                <w:rFonts w:asciiTheme="minorHAnsi" w:hAnsiTheme="minorHAnsi" w:cstheme="minorHAnsi"/>
                <w:color w:val="000000"/>
                <w:sz w:val="22"/>
                <w:szCs w:val="22"/>
              </w:rPr>
              <w:t>2.31</w:t>
            </w:r>
          </w:p>
        </w:tc>
        <w:tc>
          <w:tcPr>
            <w:tcW w:w="990" w:type="dxa"/>
            <w:tcBorders>
              <w:top w:val="nil"/>
              <w:left w:val="nil"/>
              <w:bottom w:val="nil"/>
              <w:right w:val="nil"/>
            </w:tcBorders>
            <w:noWrap/>
            <w:vAlign w:val="bottom"/>
            <w:hideMark/>
          </w:tcPr>
          <w:p w14:paraId="0B09CE9A" w14:textId="221B8413" w:rsidR="00E86407" w:rsidRPr="00D16989" w:rsidRDefault="00E86407" w:rsidP="00A834C1">
            <w:pPr>
              <w:spacing w:line="480" w:lineRule="auto"/>
              <w:rPr>
                <w:rFonts w:asciiTheme="minorHAnsi" w:hAnsiTheme="minorHAnsi" w:cstheme="minorHAnsi"/>
                <w:color w:val="000000"/>
                <w:sz w:val="22"/>
                <w:szCs w:val="22"/>
              </w:rPr>
            </w:pPr>
            <w:r w:rsidRPr="00D16989">
              <w:rPr>
                <w:rFonts w:asciiTheme="minorHAnsi" w:hAnsiTheme="minorHAnsi" w:cstheme="minorHAnsi"/>
                <w:color w:val="000000"/>
                <w:sz w:val="22"/>
                <w:szCs w:val="22"/>
              </w:rPr>
              <w:t>-2.34</w:t>
            </w:r>
          </w:p>
        </w:tc>
        <w:tc>
          <w:tcPr>
            <w:tcW w:w="1622" w:type="dxa"/>
            <w:tcBorders>
              <w:top w:val="nil"/>
              <w:left w:val="nil"/>
              <w:bottom w:val="nil"/>
              <w:right w:val="nil"/>
            </w:tcBorders>
            <w:noWrap/>
            <w:vAlign w:val="bottom"/>
            <w:hideMark/>
          </w:tcPr>
          <w:p w14:paraId="1247A36B" w14:textId="7BD1E794" w:rsidR="00E86407" w:rsidRPr="00D16989" w:rsidRDefault="00E86407" w:rsidP="00A834C1">
            <w:pPr>
              <w:spacing w:line="480" w:lineRule="auto"/>
              <w:rPr>
                <w:rFonts w:asciiTheme="minorHAnsi" w:hAnsiTheme="minorHAnsi" w:cstheme="minorHAnsi"/>
                <w:color w:val="000000"/>
                <w:sz w:val="22"/>
                <w:szCs w:val="22"/>
              </w:rPr>
            </w:pPr>
            <w:r w:rsidRPr="00D16989">
              <w:rPr>
                <w:rFonts w:asciiTheme="minorHAnsi" w:hAnsiTheme="minorHAnsi" w:cstheme="minorHAnsi"/>
                <w:color w:val="000000"/>
                <w:sz w:val="22"/>
                <w:szCs w:val="22"/>
              </w:rPr>
              <w:t xml:space="preserve"> 0.019 *  </w:t>
            </w:r>
          </w:p>
        </w:tc>
      </w:tr>
      <w:tr w:rsidR="00E86407" w:rsidRPr="00D16989" w14:paraId="37114F36" w14:textId="77777777" w:rsidTr="33A5E6DB">
        <w:trPr>
          <w:trHeight w:val="320"/>
        </w:trPr>
        <w:tc>
          <w:tcPr>
            <w:tcW w:w="2880" w:type="dxa"/>
            <w:tcBorders>
              <w:top w:val="nil"/>
              <w:left w:val="nil"/>
              <w:bottom w:val="nil"/>
              <w:right w:val="nil"/>
            </w:tcBorders>
            <w:noWrap/>
            <w:vAlign w:val="bottom"/>
            <w:hideMark/>
          </w:tcPr>
          <w:p w14:paraId="14DCF9ED" w14:textId="5C2C851B" w:rsidR="00E86407" w:rsidRPr="00D16989" w:rsidRDefault="00E86407" w:rsidP="00A834C1">
            <w:pPr>
              <w:spacing w:line="480" w:lineRule="auto"/>
              <w:rPr>
                <w:rFonts w:asciiTheme="minorHAnsi" w:hAnsiTheme="minorHAnsi" w:cstheme="minorHAnsi"/>
                <w:b/>
                <w:bCs/>
                <w:color w:val="000000"/>
                <w:sz w:val="22"/>
                <w:szCs w:val="22"/>
              </w:rPr>
            </w:pPr>
            <w:r w:rsidRPr="00D16989">
              <w:rPr>
                <w:rFonts w:asciiTheme="minorHAnsi" w:hAnsiTheme="minorHAnsi" w:cstheme="minorHAnsi"/>
                <w:b/>
                <w:bCs/>
                <w:color w:val="000000"/>
                <w:sz w:val="22"/>
                <w:szCs w:val="22"/>
              </w:rPr>
              <w:t xml:space="preserve">Bd load first </w:t>
            </w:r>
            <w:r w:rsidR="00593D14" w:rsidRPr="00D16989">
              <w:rPr>
                <w:rFonts w:asciiTheme="minorHAnsi" w:hAnsiTheme="minorHAnsi" w:cstheme="minorHAnsi"/>
                <w:b/>
                <w:bCs/>
                <w:color w:val="000000"/>
                <w:sz w:val="22"/>
                <w:szCs w:val="22"/>
              </w:rPr>
              <w:t>infection</w:t>
            </w:r>
          </w:p>
        </w:tc>
        <w:tc>
          <w:tcPr>
            <w:tcW w:w="1170" w:type="dxa"/>
            <w:tcBorders>
              <w:top w:val="nil"/>
              <w:left w:val="nil"/>
              <w:bottom w:val="nil"/>
              <w:right w:val="nil"/>
            </w:tcBorders>
            <w:noWrap/>
            <w:vAlign w:val="bottom"/>
            <w:hideMark/>
          </w:tcPr>
          <w:p w14:paraId="7C6CBEED" w14:textId="7F3FC373" w:rsidR="00E86407" w:rsidRPr="00D16989" w:rsidRDefault="33A5E6DB" w:rsidP="33A5E6DB">
            <w:pPr>
              <w:spacing w:line="480" w:lineRule="auto"/>
            </w:pPr>
            <w:r w:rsidRPr="33A5E6DB">
              <w:rPr>
                <w:rFonts w:asciiTheme="minorHAnsi" w:hAnsiTheme="minorHAnsi" w:cstheme="minorBidi"/>
                <w:color w:val="000000" w:themeColor="text1"/>
                <w:sz w:val="22"/>
                <w:szCs w:val="22"/>
              </w:rPr>
              <w:t>2.8</w:t>
            </w:r>
            <w:r w:rsidR="00422901">
              <w:rPr>
                <w:rFonts w:asciiTheme="minorHAnsi" w:hAnsiTheme="minorHAnsi" w:cstheme="minorBidi"/>
                <w:color w:val="000000" w:themeColor="text1"/>
                <w:sz w:val="22"/>
                <w:szCs w:val="22"/>
              </w:rPr>
              <w:t>5</w:t>
            </w:r>
          </w:p>
        </w:tc>
        <w:tc>
          <w:tcPr>
            <w:tcW w:w="1260" w:type="dxa"/>
            <w:tcBorders>
              <w:top w:val="nil"/>
              <w:left w:val="nil"/>
              <w:bottom w:val="nil"/>
              <w:right w:val="nil"/>
            </w:tcBorders>
            <w:noWrap/>
            <w:vAlign w:val="bottom"/>
            <w:hideMark/>
          </w:tcPr>
          <w:p w14:paraId="72E59563" w14:textId="4FBDFE52" w:rsidR="00E86407" w:rsidRPr="00D16989" w:rsidRDefault="33A5E6DB" w:rsidP="33A5E6DB">
            <w:pPr>
              <w:spacing w:line="480" w:lineRule="auto"/>
              <w:rPr>
                <w:rFonts w:asciiTheme="minorHAnsi" w:hAnsiTheme="minorHAnsi" w:cstheme="minorBidi"/>
                <w:color w:val="000000"/>
                <w:sz w:val="22"/>
                <w:szCs w:val="22"/>
              </w:rPr>
            </w:pPr>
            <w:r w:rsidRPr="33A5E6DB">
              <w:rPr>
                <w:rFonts w:asciiTheme="minorHAnsi" w:hAnsiTheme="minorHAnsi" w:cstheme="minorBidi"/>
                <w:color w:val="000000" w:themeColor="text1"/>
                <w:sz w:val="22"/>
                <w:szCs w:val="22"/>
              </w:rPr>
              <w:t>17.</w:t>
            </w:r>
            <w:r w:rsidR="00422901">
              <w:rPr>
                <w:rFonts w:asciiTheme="minorHAnsi" w:hAnsiTheme="minorHAnsi" w:cstheme="minorBidi"/>
                <w:color w:val="000000" w:themeColor="text1"/>
                <w:sz w:val="22"/>
                <w:szCs w:val="22"/>
              </w:rPr>
              <w:t>20</w:t>
            </w:r>
          </w:p>
        </w:tc>
        <w:tc>
          <w:tcPr>
            <w:tcW w:w="1260" w:type="dxa"/>
            <w:tcBorders>
              <w:top w:val="nil"/>
              <w:left w:val="nil"/>
              <w:bottom w:val="nil"/>
              <w:right w:val="nil"/>
            </w:tcBorders>
            <w:noWrap/>
            <w:vAlign w:val="bottom"/>
            <w:hideMark/>
          </w:tcPr>
          <w:p w14:paraId="6CA0EA94" w14:textId="2B4FCBED" w:rsidR="00E86407" w:rsidRPr="00D16989" w:rsidRDefault="33A5E6DB" w:rsidP="33A5E6DB">
            <w:pPr>
              <w:spacing w:line="480" w:lineRule="auto"/>
              <w:rPr>
                <w:rFonts w:asciiTheme="minorHAnsi" w:hAnsiTheme="minorHAnsi" w:cstheme="minorBidi"/>
                <w:color w:val="000000"/>
                <w:sz w:val="22"/>
                <w:szCs w:val="22"/>
              </w:rPr>
            </w:pPr>
            <w:r w:rsidRPr="33A5E6DB">
              <w:rPr>
                <w:rFonts w:asciiTheme="minorHAnsi" w:hAnsiTheme="minorHAnsi" w:cstheme="minorBidi"/>
                <w:color w:val="000000" w:themeColor="text1"/>
                <w:sz w:val="22"/>
                <w:szCs w:val="22"/>
              </w:rPr>
              <w:t>1.1</w:t>
            </w:r>
            <w:r w:rsidR="00815A5A">
              <w:rPr>
                <w:rFonts w:asciiTheme="minorHAnsi" w:hAnsiTheme="minorHAnsi" w:cstheme="minorBidi"/>
                <w:color w:val="000000" w:themeColor="text1"/>
                <w:sz w:val="22"/>
                <w:szCs w:val="22"/>
              </w:rPr>
              <w:t>2</w:t>
            </w:r>
          </w:p>
        </w:tc>
        <w:tc>
          <w:tcPr>
            <w:tcW w:w="990" w:type="dxa"/>
            <w:tcBorders>
              <w:top w:val="nil"/>
              <w:left w:val="nil"/>
              <w:bottom w:val="nil"/>
              <w:right w:val="nil"/>
            </w:tcBorders>
            <w:noWrap/>
            <w:vAlign w:val="bottom"/>
            <w:hideMark/>
          </w:tcPr>
          <w:p w14:paraId="74541417" w14:textId="14A6A2A0" w:rsidR="00E86407" w:rsidRPr="00D16989" w:rsidRDefault="00E86407" w:rsidP="00A834C1">
            <w:pPr>
              <w:spacing w:line="480" w:lineRule="auto"/>
              <w:rPr>
                <w:rFonts w:asciiTheme="minorHAnsi" w:hAnsiTheme="minorHAnsi" w:cstheme="minorHAnsi"/>
                <w:color w:val="000000"/>
                <w:sz w:val="22"/>
                <w:szCs w:val="22"/>
              </w:rPr>
            </w:pPr>
            <w:r w:rsidRPr="00D16989">
              <w:rPr>
                <w:rFonts w:asciiTheme="minorHAnsi" w:hAnsiTheme="minorHAnsi" w:cstheme="minorHAnsi"/>
                <w:color w:val="000000"/>
                <w:sz w:val="22"/>
                <w:szCs w:val="22"/>
              </w:rPr>
              <w:t>2.53</w:t>
            </w:r>
          </w:p>
        </w:tc>
        <w:tc>
          <w:tcPr>
            <w:tcW w:w="1622" w:type="dxa"/>
            <w:tcBorders>
              <w:top w:val="nil"/>
              <w:left w:val="nil"/>
              <w:bottom w:val="nil"/>
              <w:right w:val="nil"/>
            </w:tcBorders>
            <w:noWrap/>
            <w:vAlign w:val="bottom"/>
            <w:hideMark/>
          </w:tcPr>
          <w:p w14:paraId="5893BEF3" w14:textId="3EAE25B5" w:rsidR="00E86407" w:rsidRPr="00D16989" w:rsidRDefault="00E86407" w:rsidP="00A834C1">
            <w:pPr>
              <w:spacing w:line="480" w:lineRule="auto"/>
              <w:rPr>
                <w:rFonts w:asciiTheme="minorHAnsi" w:hAnsiTheme="minorHAnsi" w:cstheme="minorHAnsi"/>
                <w:color w:val="000000"/>
                <w:sz w:val="22"/>
                <w:szCs w:val="22"/>
              </w:rPr>
            </w:pPr>
            <w:r w:rsidRPr="00D16989">
              <w:rPr>
                <w:rFonts w:asciiTheme="minorHAnsi" w:hAnsiTheme="minorHAnsi" w:cstheme="minorHAnsi"/>
                <w:color w:val="000000"/>
                <w:sz w:val="22"/>
                <w:szCs w:val="22"/>
              </w:rPr>
              <w:t xml:space="preserve"> 0.011 *  </w:t>
            </w:r>
          </w:p>
        </w:tc>
      </w:tr>
      <w:tr w:rsidR="00E86407" w:rsidRPr="00D16989" w14:paraId="3FD84EF1" w14:textId="77777777" w:rsidTr="33A5E6DB">
        <w:trPr>
          <w:trHeight w:val="320"/>
        </w:trPr>
        <w:tc>
          <w:tcPr>
            <w:tcW w:w="2880" w:type="dxa"/>
            <w:tcBorders>
              <w:top w:val="nil"/>
              <w:left w:val="nil"/>
              <w:bottom w:val="nil"/>
              <w:right w:val="nil"/>
            </w:tcBorders>
            <w:noWrap/>
            <w:vAlign w:val="bottom"/>
            <w:hideMark/>
          </w:tcPr>
          <w:p w14:paraId="2E18A9C7" w14:textId="62155219" w:rsidR="00E86407" w:rsidRPr="00D16989" w:rsidRDefault="00E86407" w:rsidP="00A834C1">
            <w:pPr>
              <w:spacing w:line="480" w:lineRule="auto"/>
              <w:rPr>
                <w:rFonts w:asciiTheme="minorHAnsi" w:hAnsiTheme="minorHAnsi" w:cstheme="minorHAnsi"/>
                <w:b/>
                <w:bCs/>
                <w:color w:val="000000"/>
                <w:sz w:val="22"/>
                <w:szCs w:val="22"/>
              </w:rPr>
            </w:pPr>
            <w:r w:rsidRPr="00D16989">
              <w:rPr>
                <w:rFonts w:asciiTheme="minorHAnsi" w:hAnsiTheme="minorHAnsi" w:cstheme="minorHAnsi"/>
                <w:b/>
                <w:bCs/>
                <w:color w:val="000000"/>
                <w:sz w:val="22"/>
                <w:szCs w:val="22"/>
              </w:rPr>
              <w:t xml:space="preserve">Bd load second </w:t>
            </w:r>
            <w:r w:rsidR="00593D14" w:rsidRPr="00D16989">
              <w:rPr>
                <w:rFonts w:asciiTheme="minorHAnsi" w:hAnsiTheme="minorHAnsi" w:cstheme="minorHAnsi"/>
                <w:b/>
                <w:bCs/>
                <w:color w:val="000000"/>
                <w:sz w:val="22"/>
                <w:szCs w:val="22"/>
              </w:rPr>
              <w:t>infection</w:t>
            </w:r>
          </w:p>
        </w:tc>
        <w:tc>
          <w:tcPr>
            <w:tcW w:w="1170" w:type="dxa"/>
            <w:tcBorders>
              <w:top w:val="nil"/>
              <w:left w:val="nil"/>
              <w:bottom w:val="nil"/>
              <w:right w:val="nil"/>
            </w:tcBorders>
            <w:noWrap/>
            <w:vAlign w:val="bottom"/>
            <w:hideMark/>
          </w:tcPr>
          <w:p w14:paraId="033604FF" w14:textId="4C3A05A4" w:rsidR="00E86407" w:rsidRPr="00D16989" w:rsidRDefault="33A5E6DB" w:rsidP="33A5E6DB">
            <w:pPr>
              <w:spacing w:line="480" w:lineRule="auto"/>
              <w:rPr>
                <w:rFonts w:asciiTheme="minorHAnsi" w:hAnsiTheme="minorHAnsi" w:cstheme="minorBidi"/>
                <w:color w:val="000000"/>
                <w:sz w:val="22"/>
                <w:szCs w:val="22"/>
              </w:rPr>
            </w:pPr>
            <w:r w:rsidRPr="33A5E6DB">
              <w:rPr>
                <w:rFonts w:asciiTheme="minorHAnsi" w:hAnsiTheme="minorHAnsi" w:cstheme="minorBidi"/>
                <w:color w:val="000000" w:themeColor="text1"/>
                <w:sz w:val="22"/>
                <w:szCs w:val="22"/>
              </w:rPr>
              <w:t>2.23</w:t>
            </w:r>
          </w:p>
        </w:tc>
        <w:tc>
          <w:tcPr>
            <w:tcW w:w="1260" w:type="dxa"/>
            <w:tcBorders>
              <w:top w:val="nil"/>
              <w:left w:val="nil"/>
              <w:bottom w:val="nil"/>
              <w:right w:val="nil"/>
            </w:tcBorders>
            <w:noWrap/>
            <w:vAlign w:val="bottom"/>
            <w:hideMark/>
          </w:tcPr>
          <w:p w14:paraId="4A6A6BF9" w14:textId="05A7DE13" w:rsidR="00E86407" w:rsidRPr="00D16989" w:rsidRDefault="33A5E6DB" w:rsidP="33A5E6DB">
            <w:pPr>
              <w:spacing w:line="480" w:lineRule="auto"/>
              <w:rPr>
                <w:rFonts w:asciiTheme="minorHAnsi" w:hAnsiTheme="minorHAnsi" w:cstheme="minorBidi"/>
                <w:color w:val="000000"/>
                <w:sz w:val="22"/>
                <w:szCs w:val="22"/>
              </w:rPr>
            </w:pPr>
            <w:r w:rsidRPr="33A5E6DB">
              <w:rPr>
                <w:rFonts w:asciiTheme="minorHAnsi" w:hAnsiTheme="minorHAnsi" w:cstheme="minorBidi"/>
                <w:color w:val="000000" w:themeColor="text1"/>
                <w:sz w:val="22"/>
                <w:szCs w:val="22"/>
              </w:rPr>
              <w:t>9.31</w:t>
            </w:r>
          </w:p>
        </w:tc>
        <w:tc>
          <w:tcPr>
            <w:tcW w:w="1260" w:type="dxa"/>
            <w:tcBorders>
              <w:top w:val="nil"/>
              <w:left w:val="nil"/>
              <w:bottom w:val="nil"/>
              <w:right w:val="nil"/>
            </w:tcBorders>
            <w:noWrap/>
            <w:vAlign w:val="bottom"/>
            <w:hideMark/>
          </w:tcPr>
          <w:p w14:paraId="6FBD1848" w14:textId="78666EFC" w:rsidR="00E86407" w:rsidRPr="00D16989" w:rsidRDefault="33A5E6DB" w:rsidP="33A5E6DB">
            <w:pPr>
              <w:spacing w:line="480" w:lineRule="auto"/>
              <w:rPr>
                <w:rFonts w:asciiTheme="minorHAnsi" w:hAnsiTheme="minorHAnsi" w:cstheme="minorBidi"/>
                <w:color w:val="000000"/>
                <w:sz w:val="22"/>
                <w:szCs w:val="22"/>
              </w:rPr>
            </w:pPr>
            <w:r w:rsidRPr="33A5E6DB">
              <w:rPr>
                <w:rFonts w:asciiTheme="minorHAnsi" w:hAnsiTheme="minorHAnsi" w:cstheme="minorBidi"/>
                <w:color w:val="000000" w:themeColor="text1"/>
                <w:sz w:val="22"/>
                <w:szCs w:val="22"/>
              </w:rPr>
              <w:t>0.53</w:t>
            </w:r>
          </w:p>
        </w:tc>
        <w:tc>
          <w:tcPr>
            <w:tcW w:w="990" w:type="dxa"/>
            <w:tcBorders>
              <w:top w:val="nil"/>
              <w:left w:val="nil"/>
              <w:bottom w:val="nil"/>
              <w:right w:val="nil"/>
            </w:tcBorders>
            <w:noWrap/>
            <w:vAlign w:val="bottom"/>
            <w:hideMark/>
          </w:tcPr>
          <w:p w14:paraId="4459776B" w14:textId="10E7B22A" w:rsidR="00E86407" w:rsidRPr="00D16989" w:rsidRDefault="00E86407" w:rsidP="00A834C1">
            <w:pPr>
              <w:spacing w:line="480" w:lineRule="auto"/>
              <w:rPr>
                <w:rFonts w:asciiTheme="minorHAnsi" w:hAnsiTheme="minorHAnsi" w:cstheme="minorHAnsi"/>
                <w:color w:val="000000"/>
                <w:sz w:val="22"/>
                <w:szCs w:val="22"/>
              </w:rPr>
            </w:pPr>
            <w:r w:rsidRPr="00D16989">
              <w:rPr>
                <w:rFonts w:asciiTheme="minorHAnsi" w:hAnsiTheme="minorHAnsi" w:cstheme="minorHAnsi"/>
                <w:color w:val="000000"/>
                <w:sz w:val="22"/>
                <w:szCs w:val="22"/>
              </w:rPr>
              <w:t>4.1</w:t>
            </w:r>
            <w:r w:rsidR="001E1FE9">
              <w:rPr>
                <w:rFonts w:asciiTheme="minorHAnsi" w:hAnsiTheme="minorHAnsi" w:cstheme="minorHAnsi"/>
                <w:color w:val="000000"/>
                <w:sz w:val="22"/>
                <w:szCs w:val="22"/>
              </w:rPr>
              <w:t>8</w:t>
            </w:r>
          </w:p>
        </w:tc>
        <w:tc>
          <w:tcPr>
            <w:tcW w:w="1622" w:type="dxa"/>
            <w:tcBorders>
              <w:top w:val="nil"/>
              <w:left w:val="nil"/>
              <w:bottom w:val="nil"/>
              <w:right w:val="nil"/>
            </w:tcBorders>
            <w:noWrap/>
            <w:vAlign w:val="bottom"/>
            <w:hideMark/>
          </w:tcPr>
          <w:p w14:paraId="3747280D" w14:textId="77777777" w:rsidR="00E86407" w:rsidRPr="00D16989" w:rsidRDefault="00E86407" w:rsidP="00A834C1">
            <w:pPr>
              <w:spacing w:line="480" w:lineRule="auto"/>
              <w:rPr>
                <w:rFonts w:asciiTheme="minorHAnsi" w:hAnsiTheme="minorHAnsi" w:cstheme="minorHAnsi"/>
                <w:color w:val="000000"/>
                <w:sz w:val="22"/>
                <w:szCs w:val="22"/>
              </w:rPr>
            </w:pPr>
            <w:r w:rsidRPr="00D16989">
              <w:rPr>
                <w:rFonts w:asciiTheme="minorHAnsi" w:hAnsiTheme="minorHAnsi" w:cstheme="minorHAnsi"/>
                <w:color w:val="000000"/>
                <w:sz w:val="22"/>
                <w:szCs w:val="22"/>
              </w:rPr>
              <w:t>2.94e-05 ***</w:t>
            </w:r>
          </w:p>
        </w:tc>
      </w:tr>
      <w:tr w:rsidR="00E86407" w:rsidRPr="00D16989" w14:paraId="332FE3FD" w14:textId="77777777" w:rsidTr="33A5E6DB">
        <w:trPr>
          <w:trHeight w:val="320"/>
        </w:trPr>
        <w:tc>
          <w:tcPr>
            <w:tcW w:w="2880" w:type="dxa"/>
            <w:tcBorders>
              <w:top w:val="nil"/>
              <w:left w:val="nil"/>
              <w:bottom w:val="nil"/>
              <w:right w:val="nil"/>
            </w:tcBorders>
            <w:noWrap/>
            <w:vAlign w:val="bottom"/>
            <w:hideMark/>
          </w:tcPr>
          <w:p w14:paraId="685953AF" w14:textId="77777777" w:rsidR="00E86407" w:rsidRPr="00D16989" w:rsidRDefault="00E86407" w:rsidP="00A834C1">
            <w:pPr>
              <w:spacing w:line="480" w:lineRule="auto"/>
              <w:rPr>
                <w:rFonts w:asciiTheme="minorHAnsi" w:hAnsiTheme="minorHAnsi" w:cstheme="minorHAnsi"/>
                <w:b/>
                <w:bCs/>
                <w:color w:val="000000"/>
                <w:sz w:val="22"/>
                <w:szCs w:val="22"/>
              </w:rPr>
            </w:pPr>
            <w:r w:rsidRPr="00D16989">
              <w:rPr>
                <w:rFonts w:asciiTheme="minorHAnsi" w:hAnsiTheme="minorHAnsi" w:cstheme="minorHAnsi"/>
                <w:b/>
                <w:bCs/>
                <w:color w:val="000000"/>
                <w:sz w:val="22"/>
                <w:szCs w:val="22"/>
              </w:rPr>
              <w:t>Sex</w:t>
            </w:r>
          </w:p>
        </w:tc>
        <w:tc>
          <w:tcPr>
            <w:tcW w:w="1170" w:type="dxa"/>
            <w:tcBorders>
              <w:top w:val="nil"/>
              <w:left w:val="nil"/>
              <w:bottom w:val="nil"/>
              <w:right w:val="nil"/>
            </w:tcBorders>
            <w:noWrap/>
            <w:vAlign w:val="bottom"/>
            <w:hideMark/>
          </w:tcPr>
          <w:p w14:paraId="45EC3C23" w14:textId="3E3B584D" w:rsidR="00E86407" w:rsidRPr="00D16989" w:rsidRDefault="00E86407" w:rsidP="00A834C1">
            <w:pPr>
              <w:spacing w:line="480" w:lineRule="auto"/>
              <w:rPr>
                <w:rFonts w:asciiTheme="minorHAnsi" w:hAnsiTheme="minorHAnsi" w:cstheme="minorHAnsi"/>
                <w:color w:val="000000"/>
                <w:sz w:val="22"/>
                <w:szCs w:val="22"/>
              </w:rPr>
            </w:pPr>
            <w:r w:rsidRPr="00D16989">
              <w:rPr>
                <w:rFonts w:asciiTheme="minorHAnsi" w:hAnsiTheme="minorHAnsi" w:cstheme="minorHAnsi"/>
                <w:color w:val="000000"/>
                <w:sz w:val="22"/>
                <w:szCs w:val="22"/>
              </w:rPr>
              <w:t>-0.1</w:t>
            </w:r>
            <w:r w:rsidR="00422901">
              <w:rPr>
                <w:rFonts w:asciiTheme="minorHAnsi" w:hAnsiTheme="minorHAnsi" w:cstheme="minorHAnsi"/>
                <w:color w:val="000000"/>
                <w:sz w:val="22"/>
                <w:szCs w:val="22"/>
              </w:rPr>
              <w:t>4</w:t>
            </w:r>
          </w:p>
        </w:tc>
        <w:tc>
          <w:tcPr>
            <w:tcW w:w="1260" w:type="dxa"/>
            <w:tcBorders>
              <w:top w:val="nil"/>
              <w:left w:val="nil"/>
              <w:bottom w:val="nil"/>
              <w:right w:val="nil"/>
            </w:tcBorders>
            <w:noWrap/>
            <w:vAlign w:val="bottom"/>
            <w:hideMark/>
          </w:tcPr>
          <w:p w14:paraId="12CBE335" w14:textId="13FF4065" w:rsidR="00E86407" w:rsidRPr="00D16989" w:rsidRDefault="00E86407" w:rsidP="00A834C1">
            <w:pPr>
              <w:spacing w:line="480" w:lineRule="auto"/>
              <w:rPr>
                <w:rFonts w:asciiTheme="minorHAnsi" w:hAnsiTheme="minorHAnsi" w:cstheme="minorHAnsi"/>
                <w:color w:val="000000"/>
                <w:sz w:val="22"/>
                <w:szCs w:val="22"/>
              </w:rPr>
            </w:pPr>
            <w:r w:rsidRPr="00D16989">
              <w:rPr>
                <w:rFonts w:asciiTheme="minorHAnsi" w:hAnsiTheme="minorHAnsi" w:cstheme="minorHAnsi"/>
                <w:color w:val="000000"/>
                <w:sz w:val="22"/>
                <w:szCs w:val="22"/>
              </w:rPr>
              <w:t>0.87</w:t>
            </w:r>
          </w:p>
        </w:tc>
        <w:tc>
          <w:tcPr>
            <w:tcW w:w="1260" w:type="dxa"/>
            <w:tcBorders>
              <w:top w:val="nil"/>
              <w:left w:val="nil"/>
              <w:bottom w:val="nil"/>
              <w:right w:val="nil"/>
            </w:tcBorders>
            <w:noWrap/>
            <w:vAlign w:val="bottom"/>
            <w:hideMark/>
          </w:tcPr>
          <w:p w14:paraId="32D82F96" w14:textId="0CBCC285" w:rsidR="00E86407" w:rsidRPr="00D16989" w:rsidRDefault="00E86407" w:rsidP="00A834C1">
            <w:pPr>
              <w:spacing w:line="480" w:lineRule="auto"/>
              <w:rPr>
                <w:rFonts w:asciiTheme="minorHAnsi" w:hAnsiTheme="minorHAnsi" w:cstheme="minorHAnsi"/>
                <w:color w:val="000000"/>
                <w:sz w:val="22"/>
                <w:szCs w:val="22"/>
              </w:rPr>
            </w:pPr>
            <w:r w:rsidRPr="00D16989">
              <w:rPr>
                <w:rFonts w:asciiTheme="minorHAnsi" w:hAnsiTheme="minorHAnsi" w:cstheme="minorHAnsi"/>
                <w:color w:val="000000"/>
                <w:sz w:val="22"/>
                <w:szCs w:val="22"/>
              </w:rPr>
              <w:t>1.08</w:t>
            </w:r>
          </w:p>
        </w:tc>
        <w:tc>
          <w:tcPr>
            <w:tcW w:w="990" w:type="dxa"/>
            <w:tcBorders>
              <w:top w:val="nil"/>
              <w:left w:val="nil"/>
              <w:bottom w:val="nil"/>
              <w:right w:val="nil"/>
            </w:tcBorders>
            <w:noWrap/>
            <w:vAlign w:val="bottom"/>
            <w:hideMark/>
          </w:tcPr>
          <w:p w14:paraId="2AA66456" w14:textId="3246E09A" w:rsidR="00E86407" w:rsidRPr="00D16989" w:rsidRDefault="00E86407" w:rsidP="00A834C1">
            <w:pPr>
              <w:spacing w:line="480" w:lineRule="auto"/>
              <w:rPr>
                <w:rFonts w:asciiTheme="minorHAnsi" w:hAnsiTheme="minorHAnsi" w:cstheme="minorHAnsi"/>
                <w:color w:val="000000"/>
                <w:sz w:val="22"/>
                <w:szCs w:val="22"/>
              </w:rPr>
            </w:pPr>
            <w:r w:rsidRPr="00D16989">
              <w:rPr>
                <w:rFonts w:asciiTheme="minorHAnsi" w:hAnsiTheme="minorHAnsi" w:cstheme="minorHAnsi"/>
                <w:color w:val="000000"/>
                <w:sz w:val="22"/>
                <w:szCs w:val="22"/>
              </w:rPr>
              <w:t>-0.1</w:t>
            </w:r>
            <w:r w:rsidR="001E1FE9">
              <w:rPr>
                <w:rFonts w:asciiTheme="minorHAnsi" w:hAnsiTheme="minorHAnsi" w:cstheme="minorHAnsi"/>
                <w:color w:val="000000"/>
                <w:sz w:val="22"/>
                <w:szCs w:val="22"/>
              </w:rPr>
              <w:t>3</w:t>
            </w:r>
          </w:p>
        </w:tc>
        <w:tc>
          <w:tcPr>
            <w:tcW w:w="1622" w:type="dxa"/>
            <w:tcBorders>
              <w:top w:val="nil"/>
              <w:left w:val="nil"/>
              <w:bottom w:val="nil"/>
              <w:right w:val="nil"/>
            </w:tcBorders>
            <w:noWrap/>
            <w:vAlign w:val="bottom"/>
            <w:hideMark/>
          </w:tcPr>
          <w:p w14:paraId="4C63FEB9" w14:textId="49F87810" w:rsidR="00E86407" w:rsidRPr="00D16989" w:rsidRDefault="00E86407" w:rsidP="00A834C1">
            <w:pPr>
              <w:spacing w:line="480" w:lineRule="auto"/>
              <w:rPr>
                <w:rFonts w:asciiTheme="minorHAnsi" w:hAnsiTheme="minorHAnsi" w:cstheme="minorHAnsi"/>
                <w:color w:val="000000"/>
                <w:sz w:val="22"/>
                <w:szCs w:val="22"/>
              </w:rPr>
            </w:pPr>
            <w:r w:rsidRPr="00D16989">
              <w:rPr>
                <w:rFonts w:asciiTheme="minorHAnsi" w:hAnsiTheme="minorHAnsi" w:cstheme="minorHAnsi"/>
                <w:color w:val="000000"/>
                <w:sz w:val="22"/>
                <w:szCs w:val="22"/>
              </w:rPr>
              <w:t>0.</w:t>
            </w:r>
            <w:r w:rsidR="001E1FE9">
              <w:rPr>
                <w:rFonts w:asciiTheme="minorHAnsi" w:hAnsiTheme="minorHAnsi" w:cstheme="minorHAnsi"/>
                <w:color w:val="000000"/>
                <w:sz w:val="22"/>
                <w:szCs w:val="22"/>
              </w:rPr>
              <w:t>90</w:t>
            </w:r>
          </w:p>
        </w:tc>
      </w:tr>
      <w:tr w:rsidR="00E86407" w:rsidRPr="00D16989" w14:paraId="11C84E2B" w14:textId="77777777" w:rsidTr="33A5E6DB">
        <w:trPr>
          <w:trHeight w:val="320"/>
        </w:trPr>
        <w:tc>
          <w:tcPr>
            <w:tcW w:w="2880" w:type="dxa"/>
            <w:tcBorders>
              <w:top w:val="nil"/>
              <w:left w:val="nil"/>
              <w:bottom w:val="single" w:sz="4" w:space="0" w:color="auto"/>
              <w:right w:val="nil"/>
            </w:tcBorders>
            <w:noWrap/>
            <w:vAlign w:val="bottom"/>
            <w:hideMark/>
          </w:tcPr>
          <w:p w14:paraId="4F4A2026" w14:textId="77777777" w:rsidR="00E86407" w:rsidRPr="00D16989" w:rsidRDefault="00E86407" w:rsidP="00A834C1">
            <w:pPr>
              <w:spacing w:line="480" w:lineRule="auto"/>
              <w:rPr>
                <w:rFonts w:asciiTheme="minorHAnsi" w:hAnsiTheme="minorHAnsi" w:cstheme="minorHAnsi"/>
                <w:b/>
                <w:bCs/>
                <w:color w:val="000000"/>
                <w:sz w:val="22"/>
                <w:szCs w:val="22"/>
              </w:rPr>
            </w:pPr>
            <w:r w:rsidRPr="00D16989">
              <w:rPr>
                <w:rFonts w:asciiTheme="minorHAnsi" w:hAnsiTheme="minorHAnsi" w:cstheme="minorHAnsi"/>
                <w:b/>
                <w:bCs/>
                <w:color w:val="000000"/>
                <w:sz w:val="22"/>
                <w:szCs w:val="22"/>
              </w:rPr>
              <w:t>Weight</w:t>
            </w:r>
          </w:p>
        </w:tc>
        <w:tc>
          <w:tcPr>
            <w:tcW w:w="1170" w:type="dxa"/>
            <w:tcBorders>
              <w:top w:val="nil"/>
              <w:left w:val="nil"/>
              <w:bottom w:val="single" w:sz="4" w:space="0" w:color="auto"/>
              <w:right w:val="nil"/>
            </w:tcBorders>
            <w:noWrap/>
            <w:vAlign w:val="bottom"/>
            <w:hideMark/>
          </w:tcPr>
          <w:p w14:paraId="69C03755" w14:textId="05B75B37" w:rsidR="00E86407" w:rsidRPr="00D16989" w:rsidRDefault="00E86407" w:rsidP="00A834C1">
            <w:pPr>
              <w:spacing w:line="480" w:lineRule="auto"/>
              <w:rPr>
                <w:rFonts w:asciiTheme="minorHAnsi" w:hAnsiTheme="minorHAnsi" w:cstheme="minorHAnsi"/>
                <w:color w:val="000000"/>
                <w:sz w:val="22"/>
                <w:szCs w:val="22"/>
              </w:rPr>
            </w:pPr>
            <w:r w:rsidRPr="00D16989">
              <w:rPr>
                <w:rFonts w:asciiTheme="minorHAnsi" w:hAnsiTheme="minorHAnsi" w:cstheme="minorHAnsi"/>
                <w:color w:val="000000"/>
                <w:sz w:val="22"/>
                <w:szCs w:val="22"/>
              </w:rPr>
              <w:t>0.23</w:t>
            </w:r>
          </w:p>
        </w:tc>
        <w:tc>
          <w:tcPr>
            <w:tcW w:w="1260" w:type="dxa"/>
            <w:tcBorders>
              <w:top w:val="nil"/>
              <w:left w:val="nil"/>
              <w:bottom w:val="single" w:sz="4" w:space="0" w:color="auto"/>
              <w:right w:val="nil"/>
            </w:tcBorders>
            <w:noWrap/>
            <w:vAlign w:val="bottom"/>
            <w:hideMark/>
          </w:tcPr>
          <w:p w14:paraId="0E179671" w14:textId="0B40942F" w:rsidR="00E86407" w:rsidRPr="00D16989" w:rsidRDefault="00E86407" w:rsidP="00A834C1">
            <w:pPr>
              <w:spacing w:line="480" w:lineRule="auto"/>
              <w:rPr>
                <w:rFonts w:asciiTheme="minorHAnsi" w:hAnsiTheme="minorHAnsi" w:cstheme="minorHAnsi"/>
                <w:color w:val="000000"/>
                <w:sz w:val="22"/>
                <w:szCs w:val="22"/>
              </w:rPr>
            </w:pPr>
            <w:r w:rsidRPr="00D16989">
              <w:rPr>
                <w:rFonts w:asciiTheme="minorHAnsi" w:hAnsiTheme="minorHAnsi" w:cstheme="minorHAnsi"/>
                <w:color w:val="000000"/>
                <w:sz w:val="22"/>
                <w:szCs w:val="22"/>
              </w:rPr>
              <w:t>1.2</w:t>
            </w:r>
            <w:r w:rsidR="00815A5A">
              <w:rPr>
                <w:rFonts w:asciiTheme="minorHAnsi" w:hAnsiTheme="minorHAnsi" w:cstheme="minorHAnsi"/>
                <w:color w:val="000000"/>
                <w:sz w:val="22"/>
                <w:szCs w:val="22"/>
              </w:rPr>
              <w:t>6</w:t>
            </w:r>
          </w:p>
        </w:tc>
        <w:tc>
          <w:tcPr>
            <w:tcW w:w="1260" w:type="dxa"/>
            <w:tcBorders>
              <w:top w:val="nil"/>
              <w:left w:val="nil"/>
              <w:bottom w:val="single" w:sz="4" w:space="0" w:color="auto"/>
              <w:right w:val="nil"/>
            </w:tcBorders>
            <w:noWrap/>
            <w:vAlign w:val="bottom"/>
            <w:hideMark/>
          </w:tcPr>
          <w:p w14:paraId="39F3295E" w14:textId="407F1D4A" w:rsidR="00E86407" w:rsidRPr="00D16989" w:rsidRDefault="00E86407" w:rsidP="00A834C1">
            <w:pPr>
              <w:spacing w:line="480" w:lineRule="auto"/>
              <w:rPr>
                <w:rFonts w:asciiTheme="minorHAnsi" w:hAnsiTheme="minorHAnsi" w:cstheme="minorHAnsi"/>
                <w:color w:val="000000"/>
                <w:sz w:val="22"/>
                <w:szCs w:val="22"/>
              </w:rPr>
            </w:pPr>
            <w:r w:rsidRPr="00D16989">
              <w:rPr>
                <w:rFonts w:asciiTheme="minorHAnsi" w:hAnsiTheme="minorHAnsi" w:cstheme="minorHAnsi"/>
                <w:color w:val="000000"/>
                <w:sz w:val="22"/>
                <w:szCs w:val="22"/>
              </w:rPr>
              <w:t>0.35</w:t>
            </w:r>
          </w:p>
        </w:tc>
        <w:tc>
          <w:tcPr>
            <w:tcW w:w="990" w:type="dxa"/>
            <w:tcBorders>
              <w:top w:val="nil"/>
              <w:left w:val="nil"/>
              <w:bottom w:val="single" w:sz="4" w:space="0" w:color="auto"/>
              <w:right w:val="nil"/>
            </w:tcBorders>
            <w:noWrap/>
            <w:vAlign w:val="bottom"/>
            <w:hideMark/>
          </w:tcPr>
          <w:p w14:paraId="4086DD74" w14:textId="642352A7" w:rsidR="00E86407" w:rsidRPr="00D16989" w:rsidRDefault="00E86407" w:rsidP="00A834C1">
            <w:pPr>
              <w:spacing w:line="480" w:lineRule="auto"/>
              <w:rPr>
                <w:rFonts w:asciiTheme="minorHAnsi" w:hAnsiTheme="minorHAnsi" w:cstheme="minorHAnsi"/>
                <w:color w:val="000000"/>
                <w:sz w:val="22"/>
                <w:szCs w:val="22"/>
              </w:rPr>
            </w:pPr>
            <w:r w:rsidRPr="00D16989">
              <w:rPr>
                <w:rFonts w:asciiTheme="minorHAnsi" w:hAnsiTheme="minorHAnsi" w:cstheme="minorHAnsi"/>
                <w:color w:val="000000"/>
                <w:sz w:val="22"/>
                <w:szCs w:val="22"/>
              </w:rPr>
              <w:t>0.65</w:t>
            </w:r>
          </w:p>
        </w:tc>
        <w:tc>
          <w:tcPr>
            <w:tcW w:w="1622" w:type="dxa"/>
            <w:tcBorders>
              <w:top w:val="nil"/>
              <w:left w:val="nil"/>
              <w:bottom w:val="single" w:sz="4" w:space="0" w:color="auto"/>
              <w:right w:val="nil"/>
            </w:tcBorders>
            <w:noWrap/>
            <w:vAlign w:val="bottom"/>
            <w:hideMark/>
          </w:tcPr>
          <w:p w14:paraId="10EA90F9" w14:textId="5C22D5A1" w:rsidR="00E86407" w:rsidRPr="00D16989" w:rsidRDefault="00E86407" w:rsidP="00A834C1">
            <w:pPr>
              <w:spacing w:line="480" w:lineRule="auto"/>
              <w:rPr>
                <w:rFonts w:asciiTheme="minorHAnsi" w:hAnsiTheme="minorHAnsi" w:cstheme="minorHAnsi"/>
                <w:color w:val="000000"/>
                <w:sz w:val="22"/>
                <w:szCs w:val="22"/>
              </w:rPr>
            </w:pPr>
            <w:r w:rsidRPr="00D16989">
              <w:rPr>
                <w:rFonts w:asciiTheme="minorHAnsi" w:hAnsiTheme="minorHAnsi" w:cstheme="minorHAnsi"/>
                <w:color w:val="000000"/>
                <w:sz w:val="22"/>
                <w:szCs w:val="22"/>
              </w:rPr>
              <w:t>0.51</w:t>
            </w:r>
          </w:p>
        </w:tc>
      </w:tr>
    </w:tbl>
    <w:p w14:paraId="4C6B7374" w14:textId="77777777" w:rsidR="00E86407" w:rsidRPr="00D16989" w:rsidRDefault="00E86407" w:rsidP="00E86407">
      <w:pPr>
        <w:spacing w:line="480" w:lineRule="auto"/>
        <w:rPr>
          <w:rFonts w:asciiTheme="minorHAnsi" w:hAnsiTheme="minorHAnsi" w:cstheme="minorHAnsi"/>
          <w:b/>
          <w:bCs/>
          <w:sz w:val="22"/>
          <w:szCs w:val="22"/>
        </w:rPr>
      </w:pPr>
    </w:p>
    <w:p w14:paraId="47764F19" w14:textId="77777777" w:rsidR="00E86407" w:rsidRPr="00D16989" w:rsidRDefault="00E86407" w:rsidP="003F1A6F">
      <w:pPr>
        <w:spacing w:line="480" w:lineRule="auto"/>
        <w:rPr>
          <w:rFonts w:asciiTheme="minorHAnsi" w:hAnsiTheme="minorHAnsi" w:cstheme="minorHAnsi"/>
          <w:b/>
          <w:bCs/>
          <w:sz w:val="22"/>
          <w:szCs w:val="22"/>
        </w:rPr>
      </w:pPr>
    </w:p>
    <w:p w14:paraId="2B2A3901" w14:textId="163588ED" w:rsidR="009B70D6" w:rsidRPr="00D16989" w:rsidRDefault="00455F63" w:rsidP="23332C4D">
      <w:pPr>
        <w:spacing w:line="480" w:lineRule="auto"/>
      </w:pPr>
      <w:r>
        <w:rPr>
          <w:noProof/>
        </w:rPr>
        <w:lastRenderedPageBreak/>
        <w:drawing>
          <wp:inline distT="0" distB="0" distL="0" distR="0" wp14:anchorId="1ED2A4F8" wp14:editId="429DCAE2">
            <wp:extent cx="5081940" cy="6291072"/>
            <wp:effectExtent l="0" t="0" r="0" b="0"/>
            <wp:docPr id="822627669" name="Picture 1" descr="A graph of a patient's survival curv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627669" name="Picture 1" descr="A graph of a patient's survival curv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5096005" cy="6308483"/>
                    </a:xfrm>
                    <a:prstGeom prst="rect">
                      <a:avLst/>
                    </a:prstGeom>
                  </pic:spPr>
                </pic:pic>
              </a:graphicData>
            </a:graphic>
          </wp:inline>
        </w:drawing>
      </w:r>
    </w:p>
    <w:p w14:paraId="0DD9A565" w14:textId="2C911A52" w:rsidR="009B70D6" w:rsidRPr="00D16989" w:rsidRDefault="009B70D6" w:rsidP="009B70D6">
      <w:pPr>
        <w:spacing w:line="480" w:lineRule="auto"/>
        <w:rPr>
          <w:rFonts w:asciiTheme="minorHAnsi" w:hAnsiTheme="minorHAnsi" w:cstheme="minorHAnsi"/>
          <w:sz w:val="22"/>
          <w:szCs w:val="22"/>
        </w:rPr>
      </w:pPr>
      <w:r w:rsidRPr="00D16989">
        <w:rPr>
          <w:rFonts w:asciiTheme="minorHAnsi" w:hAnsiTheme="minorHAnsi" w:cstheme="minorHAnsi"/>
          <w:b/>
          <w:bCs/>
          <w:sz w:val="22"/>
          <w:szCs w:val="22"/>
        </w:rPr>
        <w:t>Fig 2</w:t>
      </w:r>
      <w:r w:rsidR="008C187D">
        <w:rPr>
          <w:rFonts w:asciiTheme="minorHAnsi" w:hAnsiTheme="minorHAnsi" w:cstheme="minorHAnsi"/>
          <w:b/>
          <w:bCs/>
          <w:sz w:val="22"/>
          <w:szCs w:val="22"/>
        </w:rPr>
        <w:t>.</w:t>
      </w:r>
      <w:r w:rsidRPr="00D16989">
        <w:rPr>
          <w:rFonts w:asciiTheme="minorHAnsi" w:hAnsiTheme="minorHAnsi" w:cstheme="minorHAnsi"/>
          <w:b/>
          <w:bCs/>
          <w:sz w:val="22"/>
          <w:szCs w:val="22"/>
        </w:rPr>
        <w:t xml:space="preserve"> </w:t>
      </w:r>
      <w:r w:rsidR="007845F5">
        <w:rPr>
          <w:rFonts w:asciiTheme="minorHAnsi" w:hAnsiTheme="minorHAnsi" w:cstheme="minorHAnsi"/>
          <w:sz w:val="22"/>
          <w:szCs w:val="22"/>
        </w:rPr>
        <w:t>Survivorship and Bd loads over time for</w:t>
      </w:r>
      <w:r w:rsidR="00F00612">
        <w:rPr>
          <w:rFonts w:asciiTheme="minorHAnsi" w:hAnsiTheme="minorHAnsi" w:cstheme="minorHAnsi"/>
          <w:sz w:val="22"/>
          <w:szCs w:val="22"/>
        </w:rPr>
        <w:t xml:space="preserve"> 40</w:t>
      </w:r>
      <w:r w:rsidR="00F00612" w:rsidRPr="00F00612">
        <w:rPr>
          <w:rFonts w:asciiTheme="minorHAnsi" w:hAnsiTheme="minorHAnsi" w:cstheme="minorHAnsi"/>
          <w:i/>
          <w:iCs/>
          <w:sz w:val="22"/>
          <w:szCs w:val="22"/>
        </w:rPr>
        <w:t xml:space="preserve"> </w:t>
      </w:r>
      <w:proofErr w:type="spellStart"/>
      <w:r w:rsidR="00F00612" w:rsidRPr="00D16989">
        <w:rPr>
          <w:rFonts w:asciiTheme="minorHAnsi" w:hAnsiTheme="minorHAnsi" w:cstheme="minorHAnsi"/>
          <w:i/>
          <w:iCs/>
          <w:sz w:val="22"/>
          <w:szCs w:val="22"/>
        </w:rPr>
        <w:t>Atelopus</w:t>
      </w:r>
      <w:proofErr w:type="spellEnd"/>
      <w:r w:rsidR="00F00612" w:rsidRPr="00D16989">
        <w:rPr>
          <w:rFonts w:asciiTheme="minorHAnsi" w:hAnsiTheme="minorHAnsi" w:cstheme="minorHAnsi"/>
          <w:i/>
          <w:iCs/>
          <w:sz w:val="22"/>
          <w:szCs w:val="22"/>
        </w:rPr>
        <w:t xml:space="preserve"> </w:t>
      </w:r>
      <w:proofErr w:type="spellStart"/>
      <w:r w:rsidR="00F00612" w:rsidRPr="00D16989">
        <w:rPr>
          <w:rFonts w:asciiTheme="minorHAnsi" w:hAnsiTheme="minorHAnsi" w:cstheme="minorHAnsi"/>
          <w:i/>
          <w:iCs/>
          <w:sz w:val="22"/>
          <w:szCs w:val="22"/>
        </w:rPr>
        <w:t>glyphus</w:t>
      </w:r>
      <w:proofErr w:type="spellEnd"/>
      <w:r w:rsidR="00F00612" w:rsidRPr="00F00612">
        <w:rPr>
          <w:rFonts w:asciiTheme="minorHAnsi" w:hAnsiTheme="minorHAnsi" w:cstheme="minorHAnsi"/>
          <w:i/>
          <w:iCs/>
          <w:sz w:val="22"/>
          <w:szCs w:val="22"/>
        </w:rPr>
        <w:t xml:space="preserve"> </w:t>
      </w:r>
      <w:r w:rsidR="00F00612">
        <w:rPr>
          <w:rFonts w:asciiTheme="minorHAnsi" w:hAnsiTheme="minorHAnsi" w:cstheme="minorHAnsi"/>
          <w:sz w:val="22"/>
          <w:szCs w:val="22"/>
        </w:rPr>
        <w:t>infected with Bd at Bd treatment</w:t>
      </w:r>
      <w:r w:rsidR="00CB3355">
        <w:rPr>
          <w:rFonts w:asciiTheme="minorHAnsi" w:hAnsiTheme="minorHAnsi" w:cstheme="minorHAnsi"/>
          <w:sz w:val="22"/>
          <w:szCs w:val="22"/>
        </w:rPr>
        <w:t xml:space="preserve"> 2</w:t>
      </w:r>
      <w:r w:rsidR="00FC1BE0">
        <w:rPr>
          <w:rFonts w:asciiTheme="minorHAnsi" w:hAnsiTheme="minorHAnsi" w:cstheme="minorHAnsi"/>
          <w:sz w:val="22"/>
          <w:szCs w:val="22"/>
        </w:rPr>
        <w:t xml:space="preserve"> (n = </w:t>
      </w:r>
      <w:r w:rsidR="00F00612" w:rsidRPr="00D16989">
        <w:rPr>
          <w:rFonts w:asciiTheme="minorHAnsi" w:hAnsiTheme="minorHAnsi" w:cstheme="minorHAnsi"/>
          <w:sz w:val="22"/>
          <w:szCs w:val="22"/>
        </w:rPr>
        <w:t xml:space="preserve">20 </w:t>
      </w:r>
      <w:r w:rsidR="00F00612">
        <w:rPr>
          <w:rFonts w:asciiTheme="minorHAnsi" w:hAnsiTheme="minorHAnsi" w:cstheme="minorHAnsi"/>
          <w:sz w:val="22"/>
          <w:szCs w:val="22"/>
        </w:rPr>
        <w:t>mock-Bd</w:t>
      </w:r>
      <w:r w:rsidR="00FC1BE0">
        <w:rPr>
          <w:rFonts w:asciiTheme="minorHAnsi" w:hAnsiTheme="minorHAnsi" w:cstheme="minorHAnsi"/>
          <w:sz w:val="22"/>
          <w:szCs w:val="22"/>
        </w:rPr>
        <w:t xml:space="preserve"> shown as </w:t>
      </w:r>
      <w:r w:rsidR="005F655D">
        <w:rPr>
          <w:rFonts w:asciiTheme="minorHAnsi" w:hAnsiTheme="minorHAnsi" w:cstheme="minorHAnsi"/>
          <w:sz w:val="22"/>
          <w:szCs w:val="22"/>
        </w:rPr>
        <w:t>dark crimson</w:t>
      </w:r>
      <w:r w:rsidR="00FC1BE0">
        <w:rPr>
          <w:rFonts w:asciiTheme="minorHAnsi" w:hAnsiTheme="minorHAnsi" w:cstheme="minorHAnsi"/>
          <w:sz w:val="22"/>
          <w:szCs w:val="22"/>
        </w:rPr>
        <w:t xml:space="preserve"> triangles</w:t>
      </w:r>
      <w:r w:rsidR="00F00612" w:rsidRPr="00D16989">
        <w:rPr>
          <w:rFonts w:asciiTheme="minorHAnsi" w:hAnsiTheme="minorHAnsi" w:cstheme="minorHAnsi"/>
          <w:sz w:val="22"/>
          <w:szCs w:val="22"/>
        </w:rPr>
        <w:t xml:space="preserve"> and </w:t>
      </w:r>
      <w:r w:rsidR="00FC1BE0">
        <w:rPr>
          <w:rFonts w:asciiTheme="minorHAnsi" w:hAnsiTheme="minorHAnsi" w:cstheme="minorHAnsi"/>
          <w:sz w:val="22"/>
          <w:szCs w:val="22"/>
        </w:rPr>
        <w:t xml:space="preserve">n = </w:t>
      </w:r>
      <w:r w:rsidR="00F00612" w:rsidRPr="00D16989">
        <w:rPr>
          <w:rFonts w:asciiTheme="minorHAnsi" w:hAnsiTheme="minorHAnsi" w:cstheme="minorHAnsi"/>
          <w:sz w:val="22"/>
          <w:szCs w:val="22"/>
        </w:rPr>
        <w:t xml:space="preserve">20 </w:t>
      </w:r>
      <w:r w:rsidR="00F00612">
        <w:rPr>
          <w:rFonts w:asciiTheme="minorHAnsi" w:hAnsiTheme="minorHAnsi" w:cstheme="minorHAnsi"/>
          <w:sz w:val="22"/>
          <w:szCs w:val="22"/>
        </w:rPr>
        <w:t>Bd-Bd</w:t>
      </w:r>
      <w:r w:rsidR="00FC1BE0">
        <w:rPr>
          <w:rFonts w:asciiTheme="minorHAnsi" w:hAnsiTheme="minorHAnsi" w:cstheme="minorHAnsi"/>
          <w:sz w:val="22"/>
          <w:szCs w:val="22"/>
        </w:rPr>
        <w:t xml:space="preserve"> shown as </w:t>
      </w:r>
      <w:r w:rsidR="00E76844">
        <w:rPr>
          <w:rFonts w:asciiTheme="minorHAnsi" w:hAnsiTheme="minorHAnsi" w:cstheme="minorHAnsi"/>
          <w:sz w:val="22"/>
          <w:szCs w:val="22"/>
        </w:rPr>
        <w:t>dark goldenrod</w:t>
      </w:r>
      <w:r w:rsidR="005F655D">
        <w:rPr>
          <w:rFonts w:asciiTheme="minorHAnsi" w:hAnsiTheme="minorHAnsi" w:cstheme="minorHAnsi"/>
          <w:sz w:val="22"/>
          <w:szCs w:val="22"/>
        </w:rPr>
        <w:t xml:space="preserve"> circles</w:t>
      </w:r>
      <w:r w:rsidR="00FC1BE0">
        <w:rPr>
          <w:rFonts w:asciiTheme="minorHAnsi" w:hAnsiTheme="minorHAnsi" w:cstheme="minorHAnsi"/>
          <w:sz w:val="22"/>
          <w:szCs w:val="22"/>
        </w:rPr>
        <w:t xml:space="preserve">) </w:t>
      </w:r>
      <w:r w:rsidR="008C187D">
        <w:rPr>
          <w:rFonts w:asciiTheme="minorHAnsi" w:hAnsiTheme="minorHAnsi" w:cstheme="minorHAnsi"/>
          <w:b/>
          <w:bCs/>
          <w:sz w:val="22"/>
          <w:szCs w:val="22"/>
        </w:rPr>
        <w:t>A</w:t>
      </w:r>
      <w:r w:rsidRPr="00D16989">
        <w:rPr>
          <w:rFonts w:asciiTheme="minorHAnsi" w:hAnsiTheme="minorHAnsi" w:cstheme="minorHAnsi"/>
          <w:sz w:val="22"/>
          <w:szCs w:val="22"/>
        </w:rPr>
        <w:t>)</w:t>
      </w:r>
      <w:r w:rsidRPr="00D16989">
        <w:rPr>
          <w:rFonts w:asciiTheme="minorHAnsi" w:hAnsiTheme="minorHAnsi" w:cstheme="minorHAnsi"/>
          <w:b/>
          <w:bCs/>
          <w:sz w:val="22"/>
          <w:szCs w:val="22"/>
        </w:rPr>
        <w:t xml:space="preserve"> </w:t>
      </w:r>
      <w:r w:rsidR="00553553" w:rsidRPr="00553553">
        <w:rPr>
          <w:rFonts w:asciiTheme="minorHAnsi" w:hAnsiTheme="minorHAnsi" w:cstheme="minorHAnsi"/>
          <w:sz w:val="22"/>
          <w:szCs w:val="22"/>
        </w:rPr>
        <w:t xml:space="preserve">Kaplan </w:t>
      </w:r>
      <w:proofErr w:type="spellStart"/>
      <w:r w:rsidR="00553553" w:rsidRPr="00553553">
        <w:rPr>
          <w:rFonts w:asciiTheme="minorHAnsi" w:hAnsiTheme="minorHAnsi" w:cstheme="minorHAnsi"/>
          <w:sz w:val="22"/>
          <w:szCs w:val="22"/>
        </w:rPr>
        <w:t>meier</w:t>
      </w:r>
      <w:proofErr w:type="spellEnd"/>
      <w:r w:rsidR="00553553" w:rsidRPr="00553553">
        <w:rPr>
          <w:rFonts w:asciiTheme="minorHAnsi" w:hAnsiTheme="minorHAnsi" w:cstheme="minorHAnsi"/>
          <w:sz w:val="22"/>
          <w:szCs w:val="22"/>
        </w:rPr>
        <w:t xml:space="preserve"> </w:t>
      </w:r>
      <w:r w:rsidR="00553553">
        <w:rPr>
          <w:rFonts w:asciiTheme="minorHAnsi" w:hAnsiTheme="minorHAnsi" w:cstheme="minorHAnsi"/>
          <w:sz w:val="22"/>
          <w:szCs w:val="22"/>
        </w:rPr>
        <w:t>s</w:t>
      </w:r>
      <w:r w:rsidRPr="00553553">
        <w:rPr>
          <w:rFonts w:asciiTheme="minorHAnsi" w:hAnsiTheme="minorHAnsi" w:cstheme="minorHAnsi"/>
          <w:sz w:val="22"/>
          <w:szCs w:val="22"/>
        </w:rPr>
        <w:t>urvivorship</w:t>
      </w:r>
      <w:r w:rsidRPr="00D16989">
        <w:rPr>
          <w:rFonts w:asciiTheme="minorHAnsi" w:hAnsiTheme="minorHAnsi" w:cstheme="minorHAnsi"/>
          <w:sz w:val="22"/>
          <w:szCs w:val="22"/>
        </w:rPr>
        <w:t xml:space="preserve"> curve</w:t>
      </w:r>
      <w:r w:rsidR="00553553">
        <w:rPr>
          <w:rFonts w:asciiTheme="minorHAnsi" w:hAnsiTheme="minorHAnsi" w:cstheme="minorHAnsi"/>
          <w:sz w:val="22"/>
          <w:szCs w:val="22"/>
        </w:rPr>
        <w:t xml:space="preserve"> with </w:t>
      </w:r>
      <w:r w:rsidR="00DE7789">
        <w:rPr>
          <w:rFonts w:asciiTheme="minorHAnsi" w:hAnsiTheme="minorHAnsi" w:cstheme="minorHAnsi"/>
          <w:sz w:val="22"/>
          <w:szCs w:val="22"/>
        </w:rPr>
        <w:t>95</w:t>
      </w:r>
      <w:r w:rsidR="005D629F">
        <w:rPr>
          <w:rFonts w:asciiTheme="minorHAnsi" w:hAnsiTheme="minorHAnsi" w:cstheme="minorHAnsi"/>
          <w:sz w:val="22"/>
          <w:szCs w:val="22"/>
        </w:rPr>
        <w:t xml:space="preserve"> </w:t>
      </w:r>
      <w:r w:rsidR="00DE7789">
        <w:rPr>
          <w:rFonts w:asciiTheme="minorHAnsi" w:hAnsiTheme="minorHAnsi" w:cstheme="minorHAnsi"/>
          <w:sz w:val="22"/>
          <w:szCs w:val="22"/>
        </w:rPr>
        <w:t>% confidence intervals</w:t>
      </w:r>
      <w:r w:rsidRPr="00D16989">
        <w:rPr>
          <w:rFonts w:asciiTheme="minorHAnsi" w:hAnsiTheme="minorHAnsi" w:cstheme="minorHAnsi"/>
          <w:sz w:val="22"/>
          <w:szCs w:val="22"/>
        </w:rPr>
        <w:t xml:space="preserve"> </w:t>
      </w:r>
      <w:r w:rsidR="008B5593">
        <w:rPr>
          <w:rFonts w:asciiTheme="minorHAnsi" w:hAnsiTheme="minorHAnsi" w:cstheme="minorHAnsi"/>
          <w:sz w:val="22"/>
          <w:szCs w:val="22"/>
        </w:rPr>
        <w:t xml:space="preserve">for </w:t>
      </w:r>
      <w:r w:rsidR="005F655D">
        <w:rPr>
          <w:rFonts w:asciiTheme="minorHAnsi" w:hAnsiTheme="minorHAnsi" w:cstheme="minorHAnsi"/>
          <w:sz w:val="22"/>
          <w:szCs w:val="22"/>
        </w:rPr>
        <w:t>mock-Bd and Bd-Bd animals</w:t>
      </w:r>
      <w:r w:rsidRPr="00D16989">
        <w:rPr>
          <w:rFonts w:asciiTheme="minorHAnsi" w:hAnsiTheme="minorHAnsi" w:cstheme="minorHAnsi"/>
          <w:sz w:val="22"/>
          <w:szCs w:val="22"/>
        </w:rPr>
        <w:t>. Prior-exposed</w:t>
      </w:r>
      <w:r w:rsidR="005F655D">
        <w:rPr>
          <w:rFonts w:asciiTheme="minorHAnsi" w:hAnsiTheme="minorHAnsi" w:cstheme="minorHAnsi"/>
          <w:sz w:val="22"/>
          <w:szCs w:val="22"/>
        </w:rPr>
        <w:t xml:space="preserve"> (Bd-Bd)</w:t>
      </w:r>
      <w:r w:rsidRPr="00D16989">
        <w:rPr>
          <w:rFonts w:asciiTheme="minorHAnsi" w:hAnsiTheme="minorHAnsi" w:cstheme="minorHAnsi"/>
          <w:sz w:val="22"/>
          <w:szCs w:val="22"/>
        </w:rPr>
        <w:t xml:space="preserve"> animals initially died more quickly</w:t>
      </w:r>
      <w:r w:rsidR="00337BEE">
        <w:rPr>
          <w:rFonts w:asciiTheme="minorHAnsi" w:hAnsiTheme="minorHAnsi" w:cstheme="minorHAnsi"/>
          <w:sz w:val="22"/>
          <w:szCs w:val="22"/>
        </w:rPr>
        <w:t xml:space="preserve"> (</w:t>
      </w:r>
      <w:r w:rsidR="005F655D" w:rsidRPr="1542F15A">
        <w:rPr>
          <w:rFonts w:asciiTheme="minorHAnsi" w:hAnsiTheme="minorHAnsi" w:cstheme="minorBidi"/>
          <w:sz w:val="22"/>
          <w:szCs w:val="22"/>
        </w:rPr>
        <w:t>Cox Proportional Hazards Model</w:t>
      </w:r>
      <w:r w:rsidR="005F655D">
        <w:rPr>
          <w:rFonts w:asciiTheme="minorHAnsi" w:hAnsiTheme="minorHAnsi" w:cstheme="minorBidi"/>
          <w:sz w:val="22"/>
          <w:szCs w:val="22"/>
        </w:rPr>
        <w:t xml:space="preserve">: </w:t>
      </w:r>
      <w:r w:rsidR="00337BEE">
        <w:rPr>
          <w:rFonts w:asciiTheme="minorHAnsi" w:hAnsiTheme="minorHAnsi" w:cstheme="minorHAnsi"/>
          <w:sz w:val="22"/>
          <w:szCs w:val="22"/>
        </w:rPr>
        <w:t>p = 0.019)</w:t>
      </w:r>
      <w:r w:rsidRPr="00D16989">
        <w:rPr>
          <w:rFonts w:asciiTheme="minorHAnsi" w:hAnsiTheme="minorHAnsi" w:cstheme="minorHAnsi"/>
          <w:sz w:val="22"/>
          <w:szCs w:val="22"/>
        </w:rPr>
        <w:t xml:space="preserve">. </w:t>
      </w:r>
      <w:r w:rsidR="008C187D">
        <w:rPr>
          <w:rFonts w:asciiTheme="minorHAnsi" w:hAnsiTheme="minorHAnsi" w:cstheme="minorHAnsi"/>
          <w:b/>
          <w:bCs/>
          <w:sz w:val="22"/>
          <w:szCs w:val="22"/>
        </w:rPr>
        <w:t>B</w:t>
      </w:r>
      <w:r w:rsidRPr="00D16989">
        <w:rPr>
          <w:rFonts w:asciiTheme="minorHAnsi" w:hAnsiTheme="minorHAnsi" w:cstheme="minorHAnsi"/>
          <w:sz w:val="22"/>
          <w:szCs w:val="22"/>
        </w:rPr>
        <w:t xml:space="preserve">) Bd </w:t>
      </w:r>
      <w:r w:rsidRPr="00D16989">
        <w:rPr>
          <w:rFonts w:asciiTheme="minorHAnsi" w:hAnsiTheme="minorHAnsi" w:cstheme="minorHAnsi"/>
          <w:sz w:val="22"/>
          <w:szCs w:val="22"/>
        </w:rPr>
        <w:lastRenderedPageBreak/>
        <w:t xml:space="preserve">loads in </w:t>
      </w:r>
      <w:r w:rsidR="00593D14" w:rsidRPr="00D16989">
        <w:rPr>
          <w:rFonts w:asciiTheme="minorHAnsi" w:hAnsiTheme="minorHAnsi" w:cstheme="minorHAnsi"/>
          <w:sz w:val="22"/>
          <w:szCs w:val="22"/>
        </w:rPr>
        <w:t>z</w:t>
      </w:r>
      <w:r w:rsidRPr="00D16989">
        <w:rPr>
          <w:rFonts w:asciiTheme="minorHAnsi" w:hAnsiTheme="minorHAnsi" w:cstheme="minorHAnsi"/>
          <w:sz w:val="22"/>
          <w:szCs w:val="22"/>
        </w:rPr>
        <w:t xml:space="preserve">oospore </w:t>
      </w:r>
      <w:r w:rsidR="00593D14" w:rsidRPr="00D16989">
        <w:rPr>
          <w:rFonts w:asciiTheme="minorHAnsi" w:hAnsiTheme="minorHAnsi" w:cstheme="minorHAnsi"/>
          <w:sz w:val="22"/>
          <w:szCs w:val="22"/>
        </w:rPr>
        <w:t>e</w:t>
      </w:r>
      <w:r w:rsidRPr="00D16989">
        <w:rPr>
          <w:rFonts w:asciiTheme="minorHAnsi" w:hAnsiTheme="minorHAnsi" w:cstheme="minorHAnsi"/>
          <w:sz w:val="22"/>
          <w:szCs w:val="22"/>
        </w:rPr>
        <w:t>quivalents (ZSE)</w:t>
      </w:r>
      <w:r w:rsidR="008B5593">
        <w:rPr>
          <w:rFonts w:asciiTheme="minorHAnsi" w:hAnsiTheme="minorHAnsi" w:cstheme="minorHAnsi"/>
          <w:sz w:val="22"/>
          <w:szCs w:val="22"/>
        </w:rPr>
        <w:t xml:space="preserve"> log10 transformed</w:t>
      </w:r>
      <w:r w:rsidR="00337BEE">
        <w:rPr>
          <w:rFonts w:asciiTheme="minorHAnsi" w:hAnsiTheme="minorHAnsi" w:cstheme="minorHAnsi"/>
          <w:sz w:val="22"/>
          <w:szCs w:val="22"/>
        </w:rPr>
        <w:t xml:space="preserve"> in Bd-Bd animals compared to mock-Bd animals</w:t>
      </w:r>
      <w:r w:rsidRPr="00D16989">
        <w:rPr>
          <w:rFonts w:asciiTheme="minorHAnsi" w:hAnsiTheme="minorHAnsi" w:cstheme="minorHAnsi"/>
          <w:sz w:val="22"/>
          <w:szCs w:val="22"/>
        </w:rPr>
        <w:t>.</w:t>
      </w:r>
      <w:r w:rsidR="00B70B4A">
        <w:rPr>
          <w:rFonts w:asciiTheme="minorHAnsi" w:hAnsiTheme="minorHAnsi" w:cstheme="minorHAnsi"/>
          <w:sz w:val="22"/>
          <w:szCs w:val="22"/>
        </w:rPr>
        <w:t xml:space="preserve"> </w:t>
      </w:r>
      <w:r w:rsidR="00D4075F">
        <w:rPr>
          <w:rFonts w:asciiTheme="minorHAnsi" w:hAnsiTheme="minorHAnsi" w:cstheme="minorHAnsi"/>
          <w:sz w:val="22"/>
          <w:szCs w:val="22"/>
        </w:rPr>
        <w:t>Line represents smoothed conditional means with 95</w:t>
      </w:r>
      <w:r w:rsidR="005D629F">
        <w:rPr>
          <w:rFonts w:asciiTheme="minorHAnsi" w:hAnsiTheme="minorHAnsi" w:cstheme="minorHAnsi"/>
          <w:sz w:val="22"/>
          <w:szCs w:val="22"/>
        </w:rPr>
        <w:t xml:space="preserve"> </w:t>
      </w:r>
      <w:r w:rsidR="00D4075F">
        <w:rPr>
          <w:rFonts w:asciiTheme="minorHAnsi" w:hAnsiTheme="minorHAnsi" w:cstheme="minorHAnsi"/>
          <w:sz w:val="22"/>
          <w:szCs w:val="22"/>
        </w:rPr>
        <w:t>% confidence intervals.</w:t>
      </w:r>
    </w:p>
    <w:p w14:paraId="428B507D" w14:textId="77777777" w:rsidR="003F1A6F" w:rsidRPr="00D16989" w:rsidRDefault="003F1A6F" w:rsidP="00547AFA">
      <w:pPr>
        <w:spacing w:line="480" w:lineRule="auto"/>
        <w:rPr>
          <w:rFonts w:asciiTheme="minorHAnsi" w:hAnsiTheme="minorHAnsi" w:cstheme="minorHAnsi"/>
          <w:i/>
          <w:iCs/>
          <w:sz w:val="22"/>
          <w:szCs w:val="22"/>
        </w:rPr>
      </w:pPr>
    </w:p>
    <w:p w14:paraId="477F902F" w14:textId="50DC8E28" w:rsidR="00267142" w:rsidRDefault="00267142" w:rsidP="00942CA1">
      <w:pPr>
        <w:spacing w:line="480" w:lineRule="auto"/>
        <w:rPr>
          <w:rFonts w:asciiTheme="minorHAnsi" w:hAnsiTheme="minorHAnsi" w:cstheme="minorHAnsi"/>
          <w:b/>
          <w:bCs/>
          <w:sz w:val="22"/>
          <w:szCs w:val="22"/>
        </w:rPr>
      </w:pPr>
    </w:p>
    <w:p w14:paraId="0DC45B92" w14:textId="103E779E" w:rsidR="0094300D" w:rsidRPr="00D16989" w:rsidRDefault="00DB1957" w:rsidP="00547AFA">
      <w:pPr>
        <w:spacing w:line="480" w:lineRule="auto"/>
        <w:rPr>
          <w:rFonts w:asciiTheme="minorHAnsi" w:hAnsiTheme="minorHAnsi" w:cstheme="minorHAnsi"/>
          <w:b/>
          <w:bCs/>
          <w:sz w:val="22"/>
          <w:szCs w:val="22"/>
        </w:rPr>
      </w:pPr>
      <w:r w:rsidRPr="00D16989">
        <w:rPr>
          <w:rFonts w:asciiTheme="minorHAnsi" w:hAnsiTheme="minorHAnsi" w:cstheme="minorHAnsi"/>
          <w:b/>
          <w:bCs/>
          <w:sz w:val="22"/>
          <w:szCs w:val="22"/>
        </w:rPr>
        <w:t xml:space="preserve">Host </w:t>
      </w:r>
      <w:r w:rsidR="00F37F99" w:rsidRPr="00D16989">
        <w:rPr>
          <w:rFonts w:asciiTheme="minorHAnsi" w:hAnsiTheme="minorHAnsi" w:cstheme="minorHAnsi"/>
          <w:b/>
          <w:bCs/>
          <w:sz w:val="22"/>
          <w:szCs w:val="22"/>
        </w:rPr>
        <w:t xml:space="preserve">immune </w:t>
      </w:r>
      <w:r w:rsidRPr="00D16989">
        <w:rPr>
          <w:rFonts w:asciiTheme="minorHAnsi" w:hAnsiTheme="minorHAnsi" w:cstheme="minorHAnsi"/>
          <w:b/>
          <w:bCs/>
          <w:sz w:val="22"/>
          <w:szCs w:val="22"/>
        </w:rPr>
        <w:t>gene expression</w:t>
      </w:r>
      <w:r w:rsidR="00F032FF" w:rsidRPr="00D16989">
        <w:rPr>
          <w:rFonts w:asciiTheme="minorHAnsi" w:hAnsiTheme="minorHAnsi" w:cstheme="minorHAnsi"/>
          <w:b/>
          <w:bCs/>
          <w:sz w:val="22"/>
          <w:szCs w:val="22"/>
        </w:rPr>
        <w:t xml:space="preserve"> responses to infection and reinfection</w:t>
      </w:r>
    </w:p>
    <w:p w14:paraId="57EA0954" w14:textId="457D0B51" w:rsidR="00D01746" w:rsidRDefault="622FF770" w:rsidP="09BE6804">
      <w:pPr>
        <w:spacing w:line="480" w:lineRule="auto"/>
        <w:rPr>
          <w:rFonts w:asciiTheme="minorHAnsi" w:hAnsiTheme="minorHAnsi" w:cstheme="minorBidi"/>
          <w:sz w:val="22"/>
          <w:szCs w:val="22"/>
        </w:rPr>
      </w:pPr>
      <w:r w:rsidRPr="622FF770">
        <w:rPr>
          <w:rFonts w:asciiTheme="minorHAnsi" w:hAnsiTheme="minorHAnsi" w:cstheme="minorBidi"/>
          <w:sz w:val="22"/>
          <w:szCs w:val="22"/>
        </w:rPr>
        <w:t xml:space="preserve">For toe samples, overall variation in gene expression between animals primarily reflected Bd load, rather than prior infection with Bd (Fig. 3). Comparisons between groups sharing the same current infection status, but with different prior exposure produced few DEGs (5 to 74; Fig. S3), especially in late infection (Bd-Bd vs. mock-Bd: TP1 = 74 DEGs; TP2 = 10 DEGs; Bd-mock vs. mock-mock: TP1 = 51 DEGs; TP2 = 5 DEGs), hinting that the effect of prior infection were subtle and likely waned between the first and second timepoints. In contrast, comparisons between groups </w:t>
      </w:r>
      <w:r w:rsidR="0018505F">
        <w:rPr>
          <w:rFonts w:asciiTheme="minorHAnsi" w:hAnsiTheme="minorHAnsi" w:cstheme="minorBidi"/>
          <w:sz w:val="22"/>
          <w:szCs w:val="22"/>
        </w:rPr>
        <w:t>with</w:t>
      </w:r>
      <w:r w:rsidRPr="622FF770">
        <w:rPr>
          <w:rFonts w:asciiTheme="minorHAnsi" w:hAnsiTheme="minorHAnsi" w:cstheme="minorBidi"/>
          <w:sz w:val="22"/>
          <w:szCs w:val="22"/>
        </w:rPr>
        <w:t xml:space="preserve"> </w:t>
      </w:r>
      <w:r w:rsidR="00793466">
        <w:rPr>
          <w:rFonts w:asciiTheme="minorHAnsi" w:hAnsiTheme="minorHAnsi" w:cstheme="minorBidi"/>
          <w:sz w:val="22"/>
          <w:szCs w:val="22"/>
        </w:rPr>
        <w:t>different</w:t>
      </w:r>
      <w:r w:rsidRPr="622FF770">
        <w:rPr>
          <w:rFonts w:asciiTheme="minorHAnsi" w:hAnsiTheme="minorHAnsi" w:cstheme="minorBidi"/>
          <w:sz w:val="22"/>
          <w:szCs w:val="22"/>
        </w:rPr>
        <w:t xml:space="preserve"> current infection status</w:t>
      </w:r>
      <w:r w:rsidR="002D2D5C">
        <w:rPr>
          <w:rFonts w:asciiTheme="minorHAnsi" w:hAnsiTheme="minorHAnsi" w:cstheme="minorBidi"/>
          <w:sz w:val="22"/>
          <w:szCs w:val="22"/>
        </w:rPr>
        <w:t>, but</w:t>
      </w:r>
      <w:r w:rsidRPr="622FF770">
        <w:rPr>
          <w:rFonts w:asciiTheme="minorHAnsi" w:hAnsiTheme="minorHAnsi" w:cstheme="minorBidi"/>
          <w:sz w:val="22"/>
          <w:szCs w:val="22"/>
        </w:rPr>
        <w:t xml:space="preserve"> with the same prior exposure yielded a markedly high numbers of DEGs, especially during late-stage infection (Bd-Bd vs. Bd-mock: TP1 = 2 337 DEGs; TP2 = 12 099 DEGs; mock-Bd vs. mock-mock: TP1 = 1 123 DEGs; TP2 = 11 142 DEGs (</w:t>
      </w:r>
      <w:r w:rsidR="00500A5B">
        <w:rPr>
          <w:rFonts w:asciiTheme="minorHAnsi" w:hAnsiTheme="minorHAnsi" w:cstheme="minorBidi"/>
          <w:sz w:val="22"/>
          <w:szCs w:val="22"/>
        </w:rPr>
        <w:t xml:space="preserve">Supplemental </w:t>
      </w:r>
      <w:r w:rsidRPr="622FF770">
        <w:rPr>
          <w:rFonts w:asciiTheme="minorHAnsi" w:hAnsiTheme="minorHAnsi" w:cstheme="minorBidi"/>
          <w:sz w:val="22"/>
          <w:szCs w:val="22"/>
        </w:rPr>
        <w:t>Table S</w:t>
      </w:r>
      <w:r w:rsidR="006B1C45">
        <w:rPr>
          <w:rFonts w:asciiTheme="minorHAnsi" w:hAnsiTheme="minorHAnsi" w:cstheme="minorBidi"/>
          <w:sz w:val="22"/>
          <w:szCs w:val="22"/>
        </w:rPr>
        <w:t>1</w:t>
      </w:r>
      <w:r w:rsidRPr="622FF770">
        <w:rPr>
          <w:rFonts w:asciiTheme="minorHAnsi" w:hAnsiTheme="minorHAnsi" w:cstheme="minorBidi"/>
          <w:sz w:val="22"/>
          <w:szCs w:val="22"/>
        </w:rPr>
        <w:t>). We then focused our analyses on subset comparisons of</w:t>
      </w:r>
      <w:r w:rsidRPr="622FF770">
        <w:rPr>
          <w:rFonts w:asciiTheme="minorHAnsi" w:hAnsiTheme="minorHAnsi" w:cstheme="minorBidi"/>
          <w:color w:val="000000" w:themeColor="text1"/>
          <w:sz w:val="22"/>
          <w:szCs w:val="22"/>
        </w:rPr>
        <w:t xml:space="preserve"> DEGs consistently related to Bd infection in prior infection and current infection animals that showed the same expression pattern in early and late infection.</w:t>
      </w:r>
      <w:r w:rsidRPr="622FF770">
        <w:rPr>
          <w:rFonts w:asciiTheme="minorHAnsi" w:hAnsiTheme="minorHAnsi" w:cstheme="minorBidi"/>
          <w:sz w:val="22"/>
          <w:szCs w:val="22"/>
        </w:rPr>
        <w:t xml:space="preserve"> At both timepoints for </w:t>
      </w:r>
      <w:r w:rsidRPr="622FF770">
        <w:rPr>
          <w:rFonts w:asciiTheme="minorHAnsi" w:hAnsiTheme="minorHAnsi" w:cstheme="minorBidi"/>
          <w:i/>
          <w:iCs/>
          <w:sz w:val="22"/>
          <w:szCs w:val="22"/>
        </w:rPr>
        <w:t>prior infection specific genes</w:t>
      </w:r>
      <w:r w:rsidRPr="622FF770">
        <w:rPr>
          <w:rFonts w:asciiTheme="minorHAnsi" w:hAnsiTheme="minorHAnsi" w:cstheme="minorBidi"/>
          <w:sz w:val="22"/>
          <w:szCs w:val="22"/>
        </w:rPr>
        <w:t xml:space="preserve">, 311 genes </w:t>
      </w:r>
      <w:r w:rsidR="00AD4143">
        <w:rPr>
          <w:rFonts w:asciiTheme="minorHAnsi" w:hAnsiTheme="minorHAnsi" w:cstheme="minorBidi"/>
          <w:sz w:val="22"/>
          <w:szCs w:val="22"/>
        </w:rPr>
        <w:t>were</w:t>
      </w:r>
      <w:r w:rsidRPr="622FF770">
        <w:rPr>
          <w:rFonts w:asciiTheme="minorHAnsi" w:hAnsiTheme="minorHAnsi" w:cstheme="minorBidi"/>
          <w:sz w:val="22"/>
          <w:szCs w:val="22"/>
        </w:rPr>
        <w:t xml:space="preserve"> differentially expressed in response to Bd infection in prior infection animals (Bd-Bd vs. Bd-mock) but not in naïve animals (mock-Bd vs. mock-mock; </w:t>
      </w:r>
      <w:r w:rsidR="0004161B">
        <w:rPr>
          <w:rFonts w:asciiTheme="minorHAnsi" w:hAnsiTheme="minorHAnsi" w:cstheme="minorBidi"/>
          <w:color w:val="000000" w:themeColor="text1"/>
          <w:sz w:val="22"/>
          <w:szCs w:val="22"/>
        </w:rPr>
        <w:t xml:space="preserve">Supplemental </w:t>
      </w:r>
      <w:r w:rsidRPr="622FF770">
        <w:rPr>
          <w:rFonts w:asciiTheme="minorHAnsi" w:hAnsiTheme="minorHAnsi" w:cstheme="minorBidi"/>
          <w:sz w:val="22"/>
          <w:szCs w:val="22"/>
        </w:rPr>
        <w:t xml:space="preserve">Fig. S4). At both time points for </w:t>
      </w:r>
      <w:r w:rsidRPr="622FF770">
        <w:rPr>
          <w:rFonts w:asciiTheme="minorHAnsi" w:hAnsiTheme="minorHAnsi" w:cstheme="minorBidi"/>
          <w:i/>
          <w:iCs/>
          <w:sz w:val="22"/>
          <w:szCs w:val="22"/>
        </w:rPr>
        <w:t>current infection specific genes</w:t>
      </w:r>
      <w:r w:rsidRPr="622FF770">
        <w:rPr>
          <w:rFonts w:asciiTheme="minorHAnsi" w:hAnsiTheme="minorHAnsi" w:cstheme="minorBidi"/>
          <w:sz w:val="22"/>
          <w:szCs w:val="22"/>
        </w:rPr>
        <w:t xml:space="preserve"> a larger number of genes, 527 genes, were differentially expressed between currently infected and uninfected groups</w:t>
      </w:r>
      <w:r w:rsidRPr="622FF770">
        <w:rPr>
          <w:rFonts w:asciiTheme="minorHAnsi" w:hAnsiTheme="minorHAnsi" w:cstheme="minorBidi"/>
          <w:color w:val="000000" w:themeColor="text1"/>
          <w:sz w:val="22"/>
          <w:szCs w:val="22"/>
        </w:rPr>
        <w:t xml:space="preserve"> (DEGs between Bd-mock and Bd-Bd </w:t>
      </w:r>
      <w:proofErr w:type="gramStart"/>
      <w:r w:rsidRPr="622FF770">
        <w:rPr>
          <w:rFonts w:asciiTheme="minorHAnsi" w:hAnsiTheme="minorHAnsi" w:cstheme="minorBidi"/>
          <w:color w:val="000000" w:themeColor="text1"/>
          <w:sz w:val="22"/>
          <w:szCs w:val="22"/>
        </w:rPr>
        <w:t>and also</w:t>
      </w:r>
      <w:proofErr w:type="gramEnd"/>
      <w:r w:rsidRPr="622FF770">
        <w:rPr>
          <w:rFonts w:asciiTheme="minorHAnsi" w:hAnsiTheme="minorHAnsi" w:cstheme="minorBidi"/>
          <w:color w:val="000000" w:themeColor="text1"/>
          <w:sz w:val="22"/>
          <w:szCs w:val="22"/>
        </w:rPr>
        <w:t xml:space="preserve"> between mock-mock and mock-Bd; </w:t>
      </w:r>
      <w:r w:rsidR="0004161B">
        <w:rPr>
          <w:rFonts w:asciiTheme="minorHAnsi" w:hAnsiTheme="minorHAnsi" w:cstheme="minorBidi"/>
          <w:color w:val="000000" w:themeColor="text1"/>
          <w:sz w:val="22"/>
          <w:szCs w:val="22"/>
        </w:rPr>
        <w:t xml:space="preserve">Supplemental </w:t>
      </w:r>
      <w:r w:rsidRPr="622FF770">
        <w:rPr>
          <w:rFonts w:asciiTheme="minorHAnsi" w:hAnsiTheme="minorHAnsi" w:cstheme="minorBidi"/>
          <w:sz w:val="22"/>
          <w:szCs w:val="22"/>
        </w:rPr>
        <w:t>Fig. S4). A smaller set of 57 genes were differentially expressed in response to Bd infection in naïve animals at both timepoints but not in prior infected animals (</w:t>
      </w:r>
      <w:r w:rsidRPr="622FF770">
        <w:rPr>
          <w:rFonts w:asciiTheme="minorHAnsi" w:hAnsiTheme="minorHAnsi" w:cstheme="minorBidi"/>
          <w:i/>
          <w:iCs/>
          <w:sz w:val="22"/>
          <w:szCs w:val="22"/>
        </w:rPr>
        <w:t>naïve specific genes</w:t>
      </w:r>
      <w:r w:rsidRPr="622FF770">
        <w:rPr>
          <w:rFonts w:asciiTheme="minorHAnsi" w:hAnsiTheme="minorHAnsi" w:cstheme="minorBidi"/>
          <w:sz w:val="22"/>
          <w:szCs w:val="22"/>
        </w:rPr>
        <w:t>). Toe and spleen samples were highly differentiated in overall expression (Supplemental Fig. S2).</w:t>
      </w:r>
    </w:p>
    <w:p w14:paraId="13806F64" w14:textId="00616166" w:rsidR="00D01746" w:rsidRDefault="00D01746" w:rsidP="09BE6804">
      <w:pPr>
        <w:spacing w:line="480" w:lineRule="auto"/>
        <w:rPr>
          <w:rFonts w:asciiTheme="minorHAnsi" w:hAnsiTheme="minorHAnsi" w:cstheme="minorBidi"/>
          <w:sz w:val="22"/>
          <w:szCs w:val="22"/>
        </w:rPr>
      </w:pPr>
    </w:p>
    <w:p w14:paraId="7689B099" w14:textId="79CAD3AF" w:rsidR="00DC273B" w:rsidRDefault="412D9500" w:rsidP="55B18FE8">
      <w:pPr>
        <w:spacing w:line="480" w:lineRule="auto"/>
        <w:rPr>
          <w:rFonts w:asciiTheme="minorHAnsi" w:hAnsiTheme="minorHAnsi" w:cstheme="minorBidi"/>
          <w:sz w:val="22"/>
          <w:szCs w:val="22"/>
        </w:rPr>
      </w:pPr>
      <w:r w:rsidRPr="412D9500">
        <w:rPr>
          <w:rFonts w:asciiTheme="minorHAnsi" w:hAnsiTheme="minorHAnsi" w:cstheme="minorBidi"/>
          <w:sz w:val="22"/>
          <w:szCs w:val="22"/>
        </w:rPr>
        <w:t xml:space="preserve">To examine the directional shifts in gene expression, we examined scaled mean expression and found consistent, directional shifts in gene expression across genes from the </w:t>
      </w:r>
      <w:r w:rsidRPr="412D9500">
        <w:rPr>
          <w:rFonts w:asciiTheme="minorHAnsi" w:hAnsiTheme="minorHAnsi" w:cstheme="minorBidi"/>
          <w:i/>
          <w:iCs/>
          <w:sz w:val="22"/>
          <w:szCs w:val="22"/>
        </w:rPr>
        <w:t>prior infection specific</w:t>
      </w:r>
      <w:r w:rsidRPr="412D9500">
        <w:rPr>
          <w:rFonts w:asciiTheme="minorHAnsi" w:hAnsiTheme="minorHAnsi" w:cstheme="minorBidi"/>
          <w:sz w:val="22"/>
          <w:szCs w:val="22"/>
        </w:rPr>
        <w:t xml:space="preserve"> and </w:t>
      </w:r>
      <w:r w:rsidRPr="412D9500">
        <w:rPr>
          <w:rFonts w:asciiTheme="minorHAnsi" w:hAnsiTheme="minorHAnsi" w:cstheme="minorBidi"/>
          <w:i/>
          <w:iCs/>
          <w:sz w:val="22"/>
          <w:szCs w:val="22"/>
        </w:rPr>
        <w:t>current infection specific</w:t>
      </w:r>
      <w:r w:rsidRPr="412D9500">
        <w:rPr>
          <w:rFonts w:asciiTheme="minorHAnsi" w:hAnsiTheme="minorHAnsi" w:cstheme="minorBidi"/>
          <w:sz w:val="22"/>
          <w:szCs w:val="22"/>
        </w:rPr>
        <w:t xml:space="preserve"> gene sets (Supplemental Figs. S5, S6). For </w:t>
      </w:r>
      <w:r w:rsidRPr="412D9500">
        <w:rPr>
          <w:rFonts w:asciiTheme="minorHAnsi" w:hAnsiTheme="minorHAnsi" w:cstheme="minorBidi"/>
          <w:i/>
          <w:iCs/>
          <w:sz w:val="22"/>
          <w:szCs w:val="22"/>
        </w:rPr>
        <w:t>prior infection specific genes</w:t>
      </w:r>
      <w:r w:rsidRPr="412D9500">
        <w:rPr>
          <w:rFonts w:asciiTheme="minorHAnsi" w:hAnsiTheme="minorHAnsi" w:cstheme="minorBidi"/>
          <w:sz w:val="22"/>
          <w:szCs w:val="22"/>
        </w:rPr>
        <w:t xml:space="preserve">, upregulation in response to current Bd infection was the dominant pattern (upregulated: 242/311, 78 %), but downregulation was also a notable feature of prior infection (downregulated: 69/311, 22 %; Supplemental Fig. S5). For </w:t>
      </w:r>
      <w:r w:rsidRPr="412D9500">
        <w:rPr>
          <w:rFonts w:asciiTheme="minorHAnsi" w:hAnsiTheme="minorHAnsi" w:cstheme="minorBidi"/>
          <w:i/>
          <w:iCs/>
          <w:sz w:val="22"/>
          <w:szCs w:val="22"/>
        </w:rPr>
        <w:t>current infection specific genes</w:t>
      </w:r>
      <w:r w:rsidRPr="412D9500">
        <w:rPr>
          <w:rFonts w:asciiTheme="minorHAnsi" w:hAnsiTheme="minorHAnsi" w:cstheme="minorBidi"/>
          <w:sz w:val="22"/>
          <w:szCs w:val="22"/>
        </w:rPr>
        <w:t xml:space="preserve">, current Bd infection also caused upregulation (393/527; 75 %) rather than downregulation (134/527; 25 %) compared to mock-infected controls (Supplemental Fig. S6). While the dominant pattern was current Bd infection consistently showing upregulation, </w:t>
      </w:r>
      <w:r w:rsidRPr="412D9500">
        <w:rPr>
          <w:rFonts w:asciiTheme="minorHAnsi" w:hAnsiTheme="minorHAnsi" w:cstheme="minorBidi"/>
          <w:i/>
          <w:iCs/>
          <w:sz w:val="22"/>
          <w:szCs w:val="22"/>
        </w:rPr>
        <w:t>prior infection specific genes</w:t>
      </w:r>
      <w:r w:rsidRPr="412D9500">
        <w:rPr>
          <w:rFonts w:asciiTheme="minorHAnsi" w:hAnsiTheme="minorHAnsi" w:cstheme="minorBidi"/>
          <w:sz w:val="22"/>
          <w:szCs w:val="22"/>
        </w:rPr>
        <w:t xml:space="preserve"> also showed subtle, but significant differences of lower expression in Bd-mock relative to mock-mock and lower expression in mock-Bd relative to Bd-Bd (Supplemental Fig. S5</w:t>
      </w:r>
      <w:proofErr w:type="gramStart"/>
      <w:r w:rsidRPr="412D9500">
        <w:rPr>
          <w:rFonts w:asciiTheme="minorHAnsi" w:hAnsiTheme="minorHAnsi" w:cstheme="minorBidi"/>
          <w:sz w:val="22"/>
          <w:szCs w:val="22"/>
        </w:rPr>
        <w:t>a,b</w:t>
      </w:r>
      <w:proofErr w:type="gramEnd"/>
      <w:r w:rsidRPr="412D9500">
        <w:rPr>
          <w:rFonts w:asciiTheme="minorHAnsi" w:hAnsiTheme="minorHAnsi" w:cstheme="minorBidi"/>
          <w:sz w:val="22"/>
          <w:szCs w:val="22"/>
        </w:rPr>
        <w:t xml:space="preserve">) with generally similar differences in scaled mean expression observed for </w:t>
      </w:r>
      <w:r w:rsidRPr="412D9500">
        <w:rPr>
          <w:rFonts w:asciiTheme="minorHAnsi" w:hAnsiTheme="minorHAnsi" w:cstheme="minorBidi"/>
          <w:i/>
          <w:iCs/>
          <w:sz w:val="22"/>
          <w:szCs w:val="22"/>
        </w:rPr>
        <w:t>current infection specific genes</w:t>
      </w:r>
      <w:r w:rsidRPr="412D9500">
        <w:rPr>
          <w:rFonts w:asciiTheme="minorHAnsi" w:hAnsiTheme="minorHAnsi" w:cstheme="minorBidi"/>
          <w:sz w:val="22"/>
          <w:szCs w:val="22"/>
        </w:rPr>
        <w:t xml:space="preserve"> (Supplemental Fig. S6a, b). For genes which were downregulated, the opposite pattern was generally observed (Supplemental Figs. S5</w:t>
      </w:r>
      <w:proofErr w:type="gramStart"/>
      <w:r w:rsidRPr="412D9500">
        <w:rPr>
          <w:rFonts w:asciiTheme="minorHAnsi" w:hAnsiTheme="minorHAnsi" w:cstheme="minorBidi"/>
          <w:sz w:val="22"/>
          <w:szCs w:val="22"/>
        </w:rPr>
        <w:t>c,d</w:t>
      </w:r>
      <w:proofErr w:type="gramEnd"/>
      <w:r w:rsidR="001A47EC">
        <w:rPr>
          <w:rFonts w:asciiTheme="minorHAnsi" w:hAnsiTheme="minorHAnsi" w:cstheme="minorBidi"/>
          <w:sz w:val="22"/>
          <w:szCs w:val="22"/>
        </w:rPr>
        <w:t>;</w:t>
      </w:r>
      <w:r w:rsidRPr="412D9500">
        <w:rPr>
          <w:rFonts w:asciiTheme="minorHAnsi" w:hAnsiTheme="minorHAnsi" w:cstheme="minorBidi"/>
          <w:sz w:val="22"/>
          <w:szCs w:val="22"/>
        </w:rPr>
        <w:t xml:space="preserve"> S6</w:t>
      </w:r>
      <w:proofErr w:type="gramStart"/>
      <w:r w:rsidRPr="412D9500">
        <w:rPr>
          <w:rFonts w:asciiTheme="minorHAnsi" w:hAnsiTheme="minorHAnsi" w:cstheme="minorBidi"/>
          <w:sz w:val="22"/>
          <w:szCs w:val="22"/>
        </w:rPr>
        <w:t>c,d</w:t>
      </w:r>
      <w:proofErr w:type="gramEnd"/>
      <w:r w:rsidRPr="412D9500">
        <w:rPr>
          <w:rFonts w:asciiTheme="minorHAnsi" w:hAnsiTheme="minorHAnsi" w:cstheme="minorBidi"/>
          <w:sz w:val="22"/>
          <w:szCs w:val="22"/>
        </w:rPr>
        <w:t>). Expression differences in naïve animals following Bd infection (mock-Bd) generally followed the same directional pattern as in prior infected animals (Bd-Bd) but were less pronounced (Supplemental Figs. S5-S6) and were generally insufficient to identify DEGs in the DESeq2 analysis. Together, this suggests that prior Bd infection accentuates the infection-related expression patterns found in naïve animals rather than leading to novel shifts in gene expression.</w:t>
      </w:r>
    </w:p>
    <w:p w14:paraId="7556E039" w14:textId="77777777" w:rsidR="006322C8" w:rsidRDefault="006322C8" w:rsidP="00EF5527">
      <w:pPr>
        <w:spacing w:line="480" w:lineRule="auto"/>
        <w:rPr>
          <w:rFonts w:asciiTheme="minorHAnsi" w:hAnsiTheme="minorHAnsi" w:cstheme="minorHAnsi"/>
          <w:sz w:val="22"/>
          <w:szCs w:val="22"/>
        </w:rPr>
      </w:pPr>
    </w:p>
    <w:p w14:paraId="7CAD4FA8" w14:textId="2EF02ED6" w:rsidR="00455DE0" w:rsidRDefault="496B180A" w:rsidP="09BE6804">
      <w:pPr>
        <w:spacing w:line="480" w:lineRule="auto"/>
        <w:rPr>
          <w:rFonts w:asciiTheme="minorHAnsi" w:hAnsiTheme="minorHAnsi" w:cstheme="minorBidi"/>
          <w:sz w:val="22"/>
          <w:szCs w:val="22"/>
        </w:rPr>
      </w:pPr>
      <w:r w:rsidRPr="496B180A">
        <w:rPr>
          <w:rFonts w:asciiTheme="minorHAnsi" w:hAnsiTheme="minorHAnsi" w:cstheme="minorBidi"/>
          <w:sz w:val="22"/>
          <w:szCs w:val="22"/>
        </w:rPr>
        <w:t xml:space="preserve">We manually curated genes in the </w:t>
      </w:r>
      <w:r w:rsidRPr="496B180A">
        <w:rPr>
          <w:rFonts w:asciiTheme="minorHAnsi" w:hAnsiTheme="minorHAnsi" w:cstheme="minorBidi"/>
          <w:i/>
          <w:iCs/>
          <w:sz w:val="22"/>
          <w:szCs w:val="22"/>
        </w:rPr>
        <w:t>prior and current infection specific gen</w:t>
      </w:r>
      <w:r w:rsidRPr="496B180A">
        <w:rPr>
          <w:rFonts w:asciiTheme="minorHAnsi" w:hAnsiTheme="minorHAnsi" w:cstheme="minorBidi"/>
          <w:sz w:val="22"/>
          <w:szCs w:val="22"/>
        </w:rPr>
        <w:t>e sets to only include immune genes categorized into four broad categories</w:t>
      </w:r>
      <w:r w:rsidR="00EC1F8E">
        <w:rPr>
          <w:rFonts w:asciiTheme="minorHAnsi" w:hAnsiTheme="minorHAnsi" w:cstheme="minorBidi"/>
          <w:sz w:val="22"/>
          <w:szCs w:val="22"/>
        </w:rPr>
        <w:t xml:space="preserve">, A) lymphocyte response, B) antimicrobial response, C) immune signaling, and </w:t>
      </w:r>
      <w:r w:rsidR="001323F7">
        <w:rPr>
          <w:rFonts w:asciiTheme="minorHAnsi" w:hAnsiTheme="minorHAnsi" w:cstheme="minorBidi"/>
          <w:sz w:val="22"/>
          <w:szCs w:val="22"/>
        </w:rPr>
        <w:t>D) immune ligands and receptors</w:t>
      </w:r>
      <w:r w:rsidRPr="496B180A">
        <w:rPr>
          <w:rFonts w:asciiTheme="minorHAnsi" w:hAnsiTheme="minorHAnsi" w:cstheme="minorBidi"/>
          <w:sz w:val="22"/>
          <w:szCs w:val="22"/>
        </w:rPr>
        <w:t xml:space="preserve"> (Fig</w:t>
      </w:r>
      <w:r w:rsidR="00EC1F8E">
        <w:rPr>
          <w:rFonts w:asciiTheme="minorHAnsi" w:hAnsiTheme="minorHAnsi" w:cstheme="minorBidi"/>
          <w:sz w:val="22"/>
          <w:szCs w:val="22"/>
        </w:rPr>
        <w:t>s</w:t>
      </w:r>
      <w:r w:rsidRPr="496B180A">
        <w:rPr>
          <w:rFonts w:asciiTheme="minorHAnsi" w:hAnsiTheme="minorHAnsi" w:cstheme="minorBidi"/>
          <w:sz w:val="22"/>
          <w:szCs w:val="22"/>
        </w:rPr>
        <w:t xml:space="preserve">. 4-5). For the </w:t>
      </w:r>
      <w:r w:rsidRPr="496B180A">
        <w:rPr>
          <w:rFonts w:asciiTheme="minorHAnsi" w:hAnsiTheme="minorHAnsi" w:cstheme="minorBidi"/>
          <w:i/>
          <w:iCs/>
          <w:sz w:val="22"/>
          <w:szCs w:val="22"/>
        </w:rPr>
        <w:t>prior infection specific genes</w:t>
      </w:r>
      <w:r w:rsidRPr="496B180A">
        <w:rPr>
          <w:rFonts w:asciiTheme="minorHAnsi" w:hAnsiTheme="minorHAnsi" w:cstheme="minorBidi"/>
          <w:sz w:val="22"/>
          <w:szCs w:val="22"/>
        </w:rPr>
        <w:t xml:space="preserve">, prior infection caused decreased </w:t>
      </w:r>
      <w:r w:rsidR="00E37B58">
        <w:rPr>
          <w:rFonts w:asciiTheme="minorHAnsi" w:hAnsiTheme="minorHAnsi" w:cstheme="minorBidi"/>
          <w:sz w:val="22"/>
          <w:szCs w:val="22"/>
        </w:rPr>
        <w:t xml:space="preserve">immune gene </w:t>
      </w:r>
      <w:r w:rsidRPr="496B180A">
        <w:rPr>
          <w:rFonts w:asciiTheme="minorHAnsi" w:hAnsiTheme="minorHAnsi" w:cstheme="minorBidi"/>
          <w:sz w:val="22"/>
          <w:szCs w:val="22"/>
        </w:rPr>
        <w:t xml:space="preserve">expression compared to animals infected with Bd for the </w:t>
      </w:r>
      <w:r w:rsidRPr="496B180A">
        <w:rPr>
          <w:rFonts w:asciiTheme="minorHAnsi" w:hAnsiTheme="minorHAnsi" w:cstheme="minorBidi"/>
          <w:sz w:val="22"/>
          <w:szCs w:val="22"/>
        </w:rPr>
        <w:lastRenderedPageBreak/>
        <w:t>first time (Fig. 4</w:t>
      </w:r>
      <w:r w:rsidR="00797413">
        <w:rPr>
          <w:rFonts w:asciiTheme="minorHAnsi" w:hAnsiTheme="minorHAnsi" w:cstheme="minorBidi"/>
          <w:sz w:val="22"/>
          <w:szCs w:val="22"/>
        </w:rPr>
        <w:t xml:space="preserve">, </w:t>
      </w:r>
      <w:r w:rsidRPr="496B180A">
        <w:rPr>
          <w:rFonts w:asciiTheme="minorHAnsi" w:hAnsiTheme="minorHAnsi" w:cstheme="minorBidi"/>
          <w:sz w:val="22"/>
          <w:szCs w:val="22"/>
        </w:rPr>
        <w:t>Supplementa</w:t>
      </w:r>
      <w:r w:rsidR="007265B1">
        <w:rPr>
          <w:rFonts w:asciiTheme="minorHAnsi" w:hAnsiTheme="minorHAnsi" w:cstheme="minorBidi"/>
          <w:sz w:val="22"/>
          <w:szCs w:val="22"/>
        </w:rPr>
        <w:t>l</w:t>
      </w:r>
      <w:r w:rsidRPr="496B180A">
        <w:rPr>
          <w:rFonts w:asciiTheme="minorHAnsi" w:hAnsiTheme="minorHAnsi" w:cstheme="minorBidi"/>
          <w:sz w:val="22"/>
          <w:szCs w:val="22"/>
        </w:rPr>
        <w:t xml:space="preserve"> Fig. S7). </w:t>
      </w:r>
      <w:r w:rsidR="0049238A" w:rsidRPr="0049238A">
        <w:rPr>
          <w:rFonts w:asciiTheme="minorHAnsi" w:hAnsiTheme="minorHAnsi" w:cstheme="minorHAnsi"/>
          <w:color w:val="1B2733"/>
          <w:sz w:val="22"/>
          <w:szCs w:val="22"/>
          <w:bdr w:val="none" w:sz="0" w:space="0" w:color="auto" w:frame="1"/>
          <w:shd w:val="clear" w:color="auto" w:fill="FFFFFF"/>
        </w:rPr>
        <w:t>Prior-infected animals (Bd-mock) had substantially reduced expression of genes associated with adaptive immunity,</w:t>
      </w:r>
      <w:r w:rsidR="0049238A" w:rsidRPr="0049238A">
        <w:rPr>
          <w:rFonts w:asciiTheme="minorHAnsi" w:hAnsiTheme="minorHAnsi" w:cstheme="minorHAnsi"/>
          <w:color w:val="1B2733"/>
          <w:sz w:val="22"/>
          <w:szCs w:val="22"/>
        </w:rPr>
        <w:t xml:space="preserve"> </w:t>
      </w:r>
      <w:r w:rsidR="0049238A" w:rsidRPr="0049238A">
        <w:rPr>
          <w:rFonts w:asciiTheme="minorHAnsi" w:hAnsiTheme="minorHAnsi" w:cstheme="minorHAnsi"/>
          <w:color w:val="1B2733"/>
          <w:sz w:val="22"/>
          <w:szCs w:val="22"/>
          <w:bdr w:val="none" w:sz="0" w:space="0" w:color="auto" w:frame="1"/>
          <w:shd w:val="clear" w:color="auto" w:fill="FFFFFF"/>
        </w:rPr>
        <w:t>including genes involved in antigen presentation (B2M, HLADRB1, MR1, PSMB8</w:t>
      </w:r>
      <w:r w:rsidR="0049238A" w:rsidRPr="0049238A">
        <w:rPr>
          <w:rFonts w:asciiTheme="minorHAnsi" w:hAnsiTheme="minorHAnsi" w:cstheme="minorHAnsi"/>
          <w:color w:val="1B2733"/>
          <w:sz w:val="22"/>
          <w:szCs w:val="22"/>
        </w:rPr>
        <w:t xml:space="preserve"> </w:t>
      </w:r>
      <w:r w:rsidR="0049238A" w:rsidRPr="0049238A">
        <w:rPr>
          <w:rFonts w:asciiTheme="minorHAnsi" w:hAnsiTheme="minorHAnsi" w:cstheme="minorHAnsi"/>
          <w:color w:val="1B2733"/>
          <w:sz w:val="22"/>
          <w:szCs w:val="22"/>
          <w:bdr w:val="none" w:sz="0" w:space="0" w:color="auto" w:frame="1"/>
          <w:shd w:val="clear" w:color="auto" w:fill="FFFFFF"/>
        </w:rPr>
        <w:t xml:space="preserve">&amp; 9, TAP1, TAPBP) as well as T (CD3E, CD3D, CD4, ICOS, TRBV251) and B (BCL3, BATF2, BATF3, CD40, CD40LG, IGLV545, </w:t>
      </w:r>
      <w:proofErr w:type="spellStart"/>
      <w:r w:rsidR="0049238A" w:rsidRPr="0049238A">
        <w:rPr>
          <w:rFonts w:asciiTheme="minorHAnsi" w:hAnsiTheme="minorHAnsi" w:cstheme="minorHAnsi"/>
          <w:color w:val="1B2733"/>
          <w:sz w:val="22"/>
          <w:szCs w:val="22"/>
          <w:bdr w:val="none" w:sz="0" w:space="0" w:color="auto" w:frame="1"/>
          <w:shd w:val="clear" w:color="auto" w:fill="FFFFFF"/>
        </w:rPr>
        <w:t>IgV</w:t>
      </w:r>
      <w:proofErr w:type="spellEnd"/>
      <w:r w:rsidR="0049238A" w:rsidRPr="0049238A">
        <w:rPr>
          <w:rFonts w:asciiTheme="minorHAnsi" w:hAnsiTheme="minorHAnsi" w:cstheme="minorHAnsi"/>
          <w:color w:val="1B2733"/>
          <w:sz w:val="22"/>
          <w:szCs w:val="22"/>
          <w:bdr w:val="none" w:sz="0" w:space="0" w:color="auto" w:frame="1"/>
          <w:shd w:val="clear" w:color="auto" w:fill="FFFFFF"/>
        </w:rPr>
        <w:t xml:space="preserve">) responses (Fig. 4). This indicates that prior infection </w:t>
      </w:r>
      <w:r w:rsidR="008E5AEA">
        <w:rPr>
          <w:rFonts w:asciiTheme="minorHAnsi" w:hAnsiTheme="minorHAnsi" w:cstheme="minorHAnsi"/>
          <w:color w:val="1B2733"/>
          <w:sz w:val="22"/>
          <w:szCs w:val="22"/>
          <w:bdr w:val="none" w:sz="0" w:space="0" w:color="auto" w:frame="1"/>
          <w:shd w:val="clear" w:color="auto" w:fill="FFFFFF"/>
        </w:rPr>
        <w:t xml:space="preserve">had </w:t>
      </w:r>
      <w:r w:rsidR="0049238A" w:rsidRPr="0049238A">
        <w:rPr>
          <w:rFonts w:asciiTheme="minorHAnsi" w:hAnsiTheme="minorHAnsi" w:cstheme="minorHAnsi"/>
          <w:color w:val="1B2733"/>
          <w:sz w:val="22"/>
          <w:szCs w:val="22"/>
          <w:bdr w:val="none" w:sz="0" w:space="0" w:color="auto" w:frame="1"/>
          <w:shd w:val="clear" w:color="auto" w:fill="FFFFFF"/>
        </w:rPr>
        <w:t>lowered frog immune efficacies at the time of re-infection, corroborating that prior infection negatively</w:t>
      </w:r>
      <w:r w:rsidR="0049238A" w:rsidRPr="0049238A">
        <w:rPr>
          <w:rFonts w:asciiTheme="minorHAnsi" w:hAnsiTheme="minorHAnsi" w:cstheme="minorHAnsi"/>
          <w:color w:val="1B2733"/>
          <w:sz w:val="22"/>
          <w:szCs w:val="22"/>
        </w:rPr>
        <w:t xml:space="preserve"> </w:t>
      </w:r>
      <w:r w:rsidR="0049238A" w:rsidRPr="0049238A">
        <w:rPr>
          <w:rFonts w:asciiTheme="minorHAnsi" w:hAnsiTheme="minorHAnsi" w:cstheme="minorHAnsi"/>
          <w:color w:val="1B2733"/>
          <w:sz w:val="22"/>
          <w:szCs w:val="22"/>
          <w:bdr w:val="none" w:sz="0" w:space="0" w:color="auto" w:frame="1"/>
          <w:shd w:val="clear" w:color="auto" w:fill="FFFFFF"/>
        </w:rPr>
        <w:t>affected re-infection outcomes (Fig. 2).</w:t>
      </w:r>
      <w:r w:rsidR="0049238A" w:rsidRPr="0049238A">
        <w:rPr>
          <w:rFonts w:asciiTheme="minorHAnsi" w:hAnsiTheme="minorHAnsi" w:cstheme="minorHAnsi"/>
          <w:color w:val="1B2733"/>
          <w:sz w:val="21"/>
          <w:szCs w:val="21"/>
          <w:bdr w:val="none" w:sz="0" w:space="0" w:color="auto" w:frame="1"/>
          <w:shd w:val="clear" w:color="auto" w:fill="FFFFFF"/>
        </w:rPr>
        <w:t xml:space="preserve"> </w:t>
      </w:r>
      <w:r w:rsidRPr="0049238A">
        <w:rPr>
          <w:rFonts w:asciiTheme="minorHAnsi" w:hAnsiTheme="minorHAnsi" w:cstheme="minorHAnsi"/>
          <w:sz w:val="22"/>
          <w:szCs w:val="22"/>
        </w:rPr>
        <w:t>For</w:t>
      </w:r>
      <w:r w:rsidRPr="496B180A">
        <w:rPr>
          <w:rFonts w:asciiTheme="minorHAnsi" w:hAnsiTheme="minorHAnsi" w:cstheme="minorBidi"/>
          <w:sz w:val="22"/>
          <w:szCs w:val="22"/>
        </w:rPr>
        <w:t xml:space="preserve"> the </w:t>
      </w:r>
      <w:r w:rsidRPr="00800DEB">
        <w:rPr>
          <w:rFonts w:asciiTheme="minorHAnsi" w:hAnsiTheme="minorHAnsi" w:cstheme="minorBidi"/>
          <w:i/>
          <w:iCs/>
          <w:sz w:val="22"/>
          <w:szCs w:val="22"/>
        </w:rPr>
        <w:t>current infection specific gene</w:t>
      </w:r>
      <w:r w:rsidRPr="496B180A">
        <w:rPr>
          <w:rFonts w:asciiTheme="minorHAnsi" w:hAnsiTheme="minorHAnsi" w:cstheme="minorBidi"/>
          <w:sz w:val="22"/>
          <w:szCs w:val="22"/>
        </w:rPr>
        <w:t xml:space="preserve"> set, Bd infection again predominately caused increased expression compared to mock-infected animals (Fig. 5; Supplementa</w:t>
      </w:r>
      <w:r w:rsidR="007265B1">
        <w:rPr>
          <w:rFonts w:asciiTheme="minorHAnsi" w:hAnsiTheme="minorHAnsi" w:cstheme="minorBidi"/>
          <w:sz w:val="22"/>
          <w:szCs w:val="22"/>
        </w:rPr>
        <w:t>l</w:t>
      </w:r>
      <w:r w:rsidRPr="496B180A">
        <w:rPr>
          <w:rFonts w:asciiTheme="minorHAnsi" w:hAnsiTheme="minorHAnsi" w:cstheme="minorBidi"/>
          <w:sz w:val="22"/>
          <w:szCs w:val="22"/>
        </w:rPr>
        <w:t xml:space="preserve"> Fig. S7).  There was a large number of immune signaling genes in this set (e.g. CD109, CEBPB, EHF, IL6ST, IRAK2, STAT3, TIFA) with smaller numbers of genes linked to antimicrobial responses (e.g. IFIH1, NOS2, TM6SF2), lymphocyte response (e.g. CIITA, HLA-DMA, MHCDMB), and immune receptors and ligands (e.g. IL13RA1, IL17C, IL17RA, IL4R; Fig. 5). </w:t>
      </w:r>
    </w:p>
    <w:p w14:paraId="7591FB12" w14:textId="1BC83184" w:rsidR="00E86407" w:rsidRPr="00D16989" w:rsidRDefault="00455DE0" w:rsidP="004B4F2D">
      <w:pPr>
        <w:spacing w:line="480" w:lineRule="auto"/>
        <w:rPr>
          <w:rFonts w:asciiTheme="minorHAnsi" w:hAnsiTheme="minorHAnsi" w:cstheme="minorHAnsi"/>
          <w:b/>
          <w:bCs/>
          <w:sz w:val="22"/>
          <w:szCs w:val="22"/>
        </w:rPr>
      </w:pPr>
      <w:r>
        <w:rPr>
          <w:rFonts w:asciiTheme="minorHAnsi" w:hAnsiTheme="minorHAnsi" w:cstheme="minorBidi"/>
          <w:sz w:val="22"/>
          <w:szCs w:val="22"/>
        </w:rPr>
        <w:br w:type="page"/>
      </w:r>
    </w:p>
    <w:p w14:paraId="7C59D60D" w14:textId="7AE3C7DE" w:rsidR="00E86407" w:rsidRPr="00D16989" w:rsidRDefault="00FA5838" w:rsidP="34EEDC54">
      <w:pPr>
        <w:spacing w:line="480" w:lineRule="auto"/>
        <w:rPr>
          <w:rFonts w:asciiTheme="minorHAnsi" w:hAnsiTheme="minorHAnsi" w:cstheme="minorBidi"/>
          <w:b/>
          <w:bCs/>
          <w:sz w:val="22"/>
          <w:szCs w:val="22"/>
        </w:rPr>
      </w:pPr>
      <w:r>
        <w:rPr>
          <w:rFonts w:asciiTheme="minorHAnsi" w:hAnsiTheme="minorHAnsi" w:cstheme="minorBidi"/>
          <w:b/>
          <w:bCs/>
          <w:noProof/>
          <w:sz w:val="22"/>
          <w:szCs w:val="22"/>
        </w:rPr>
        <w:lastRenderedPageBreak/>
        <w:drawing>
          <wp:inline distT="0" distB="0" distL="0" distR="0" wp14:anchorId="0F77860A" wp14:editId="2486504C">
            <wp:extent cx="5943600" cy="6792595"/>
            <wp:effectExtent l="0" t="0" r="0" b="0"/>
            <wp:docPr id="9137939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793967" name="Picture 913793967"/>
                    <pic:cNvPicPr/>
                  </pic:nvPicPr>
                  <pic:blipFill>
                    <a:blip r:embed="rId12"/>
                    <a:stretch>
                      <a:fillRect/>
                    </a:stretch>
                  </pic:blipFill>
                  <pic:spPr>
                    <a:xfrm>
                      <a:off x="0" y="0"/>
                      <a:ext cx="5943600" cy="6792595"/>
                    </a:xfrm>
                    <a:prstGeom prst="rect">
                      <a:avLst/>
                    </a:prstGeom>
                  </pic:spPr>
                </pic:pic>
              </a:graphicData>
            </a:graphic>
          </wp:inline>
        </w:drawing>
      </w:r>
    </w:p>
    <w:p w14:paraId="1D759BF3" w14:textId="5D8EFCDC" w:rsidR="00E86407" w:rsidRPr="00D16989" w:rsidRDefault="6CA883F0" w:rsidP="115D7C9D">
      <w:pPr>
        <w:spacing w:line="480" w:lineRule="auto"/>
        <w:rPr>
          <w:rFonts w:asciiTheme="minorHAnsi" w:hAnsiTheme="minorHAnsi" w:cstheme="minorBidi"/>
          <w:sz w:val="22"/>
          <w:szCs w:val="22"/>
        </w:rPr>
      </w:pPr>
      <w:r w:rsidRPr="6CA883F0">
        <w:rPr>
          <w:rFonts w:asciiTheme="minorHAnsi" w:hAnsiTheme="minorHAnsi" w:cstheme="minorBidi"/>
          <w:b/>
          <w:bCs/>
          <w:sz w:val="22"/>
          <w:szCs w:val="22"/>
        </w:rPr>
        <w:t xml:space="preserve">Fig 3. </w:t>
      </w:r>
      <w:r w:rsidRPr="00FC7F04">
        <w:rPr>
          <w:rFonts w:asciiTheme="minorHAnsi" w:hAnsiTheme="minorHAnsi" w:cstheme="minorBidi"/>
          <w:sz w:val="22"/>
          <w:szCs w:val="22"/>
        </w:rPr>
        <w:t>Principal component analysis of gene expression.</w:t>
      </w:r>
      <w:r w:rsidRPr="6CA883F0">
        <w:rPr>
          <w:rFonts w:asciiTheme="minorHAnsi" w:hAnsiTheme="minorHAnsi" w:cstheme="minorBidi"/>
          <w:b/>
          <w:bCs/>
          <w:sz w:val="22"/>
          <w:szCs w:val="22"/>
        </w:rPr>
        <w:t xml:space="preserve"> </w:t>
      </w:r>
      <w:r w:rsidR="008C187D">
        <w:rPr>
          <w:rFonts w:asciiTheme="minorHAnsi" w:hAnsiTheme="minorHAnsi" w:cstheme="minorBidi"/>
          <w:b/>
          <w:bCs/>
          <w:sz w:val="22"/>
          <w:szCs w:val="22"/>
        </w:rPr>
        <w:t>A</w:t>
      </w:r>
      <w:r w:rsidRPr="6CA883F0">
        <w:rPr>
          <w:rFonts w:asciiTheme="minorHAnsi" w:hAnsiTheme="minorHAnsi" w:cstheme="minorBidi"/>
          <w:b/>
          <w:bCs/>
          <w:sz w:val="22"/>
          <w:szCs w:val="22"/>
        </w:rPr>
        <w:t xml:space="preserve">) </w:t>
      </w:r>
      <w:r w:rsidRPr="6CA883F0">
        <w:rPr>
          <w:rFonts w:asciiTheme="minorHAnsi" w:hAnsiTheme="minorHAnsi" w:cstheme="minorBidi"/>
          <w:sz w:val="22"/>
          <w:szCs w:val="22"/>
        </w:rPr>
        <w:t xml:space="preserve">The effect of treatment and infection stage on gene expression in </w:t>
      </w:r>
      <w:r w:rsidRPr="6CA883F0">
        <w:rPr>
          <w:rFonts w:asciiTheme="minorHAnsi" w:hAnsiTheme="minorHAnsi" w:cstheme="minorBidi"/>
          <w:i/>
          <w:iCs/>
          <w:sz w:val="22"/>
          <w:szCs w:val="22"/>
        </w:rPr>
        <w:t xml:space="preserve">A. </w:t>
      </w:r>
      <w:proofErr w:type="spellStart"/>
      <w:r w:rsidRPr="6CA883F0">
        <w:rPr>
          <w:rFonts w:asciiTheme="minorHAnsi" w:hAnsiTheme="minorHAnsi" w:cstheme="minorBidi"/>
          <w:i/>
          <w:iCs/>
          <w:sz w:val="22"/>
          <w:szCs w:val="22"/>
        </w:rPr>
        <w:t>glyphus</w:t>
      </w:r>
      <w:proofErr w:type="spellEnd"/>
      <w:r w:rsidRPr="6CA883F0">
        <w:rPr>
          <w:rFonts w:asciiTheme="minorHAnsi" w:hAnsiTheme="minorHAnsi" w:cstheme="minorBidi"/>
          <w:sz w:val="22"/>
          <w:szCs w:val="22"/>
        </w:rPr>
        <w:t xml:space="preserve"> toe clips. </w:t>
      </w:r>
      <w:r w:rsidR="003A7DAE">
        <w:rPr>
          <w:rFonts w:asciiTheme="minorHAnsi" w:hAnsiTheme="minorHAnsi" w:cstheme="minorBidi"/>
          <w:sz w:val="22"/>
          <w:szCs w:val="22"/>
        </w:rPr>
        <w:t xml:space="preserve">Bd treatment 1 groups are shown by color as </w:t>
      </w:r>
      <w:r w:rsidR="00672844">
        <w:rPr>
          <w:rFonts w:asciiTheme="minorHAnsi" w:hAnsiTheme="minorHAnsi" w:cstheme="minorBidi"/>
          <w:sz w:val="22"/>
          <w:szCs w:val="22"/>
        </w:rPr>
        <w:t>mock</w:t>
      </w:r>
      <w:r w:rsidR="009143F7">
        <w:rPr>
          <w:rFonts w:asciiTheme="minorHAnsi" w:hAnsiTheme="minorHAnsi" w:cstheme="minorBidi"/>
          <w:sz w:val="22"/>
          <w:szCs w:val="22"/>
        </w:rPr>
        <w:t xml:space="preserve"> naïve</w:t>
      </w:r>
      <w:r w:rsidR="00672844">
        <w:rPr>
          <w:rFonts w:asciiTheme="minorHAnsi" w:hAnsiTheme="minorHAnsi" w:cstheme="minorBidi"/>
          <w:sz w:val="22"/>
          <w:szCs w:val="22"/>
        </w:rPr>
        <w:t xml:space="preserve"> = dark crimson, Bd </w:t>
      </w:r>
      <w:r w:rsidR="009143F7">
        <w:rPr>
          <w:rFonts w:asciiTheme="minorHAnsi" w:hAnsiTheme="minorHAnsi" w:cstheme="minorBidi"/>
          <w:sz w:val="22"/>
          <w:szCs w:val="22"/>
        </w:rPr>
        <w:t xml:space="preserve">pre-exposed </w:t>
      </w:r>
      <w:r w:rsidR="00672844">
        <w:rPr>
          <w:rFonts w:asciiTheme="minorHAnsi" w:hAnsiTheme="minorHAnsi" w:cstheme="minorBidi"/>
          <w:sz w:val="22"/>
          <w:szCs w:val="22"/>
        </w:rPr>
        <w:t xml:space="preserve">= dark goldenrod, and untreated = </w:t>
      </w:r>
      <w:r w:rsidR="00D97768">
        <w:rPr>
          <w:rFonts w:asciiTheme="minorHAnsi" w:hAnsiTheme="minorHAnsi" w:cstheme="minorBidi"/>
          <w:sz w:val="22"/>
          <w:szCs w:val="22"/>
        </w:rPr>
        <w:t xml:space="preserve">medium blue. </w:t>
      </w:r>
      <w:r w:rsidR="00415A27">
        <w:rPr>
          <w:rFonts w:asciiTheme="minorHAnsi" w:hAnsiTheme="minorHAnsi" w:cstheme="minorBidi"/>
          <w:sz w:val="22"/>
          <w:szCs w:val="22"/>
        </w:rPr>
        <w:t xml:space="preserve">Bd treatment 2 groups are shown by shape </w:t>
      </w:r>
      <w:r w:rsidR="00044E87">
        <w:rPr>
          <w:rFonts w:asciiTheme="minorHAnsi" w:hAnsiTheme="minorHAnsi" w:cstheme="minorBidi"/>
          <w:sz w:val="22"/>
          <w:szCs w:val="22"/>
        </w:rPr>
        <w:t xml:space="preserve">as </w:t>
      </w:r>
      <w:r w:rsidR="00415A27">
        <w:rPr>
          <w:rFonts w:asciiTheme="minorHAnsi" w:hAnsiTheme="minorHAnsi" w:cstheme="minorBidi"/>
          <w:sz w:val="22"/>
          <w:szCs w:val="22"/>
        </w:rPr>
        <w:t>Bd = triangle</w:t>
      </w:r>
      <w:r w:rsidR="00044E87">
        <w:rPr>
          <w:rFonts w:asciiTheme="minorHAnsi" w:hAnsiTheme="minorHAnsi" w:cstheme="minorBidi"/>
          <w:sz w:val="22"/>
          <w:szCs w:val="22"/>
        </w:rPr>
        <w:t xml:space="preserve"> and</w:t>
      </w:r>
      <w:r w:rsidR="00415A27">
        <w:rPr>
          <w:rFonts w:asciiTheme="minorHAnsi" w:hAnsiTheme="minorHAnsi" w:cstheme="minorBidi"/>
          <w:sz w:val="22"/>
          <w:szCs w:val="22"/>
        </w:rPr>
        <w:t xml:space="preserve"> mock = circle. Day is shown by </w:t>
      </w:r>
      <w:r w:rsidR="00044E87">
        <w:rPr>
          <w:rFonts w:asciiTheme="minorHAnsi" w:hAnsiTheme="minorHAnsi" w:cstheme="minorBidi"/>
          <w:sz w:val="22"/>
          <w:szCs w:val="22"/>
        </w:rPr>
        <w:t xml:space="preserve">fill as open = </w:t>
      </w:r>
      <w:r w:rsidR="006C3957">
        <w:rPr>
          <w:rFonts w:asciiTheme="minorHAnsi" w:hAnsiTheme="minorHAnsi" w:cstheme="minorBidi"/>
          <w:sz w:val="22"/>
          <w:szCs w:val="22"/>
        </w:rPr>
        <w:t>d</w:t>
      </w:r>
      <w:r w:rsidR="00044E87">
        <w:rPr>
          <w:rFonts w:asciiTheme="minorHAnsi" w:hAnsiTheme="minorHAnsi" w:cstheme="minorBidi"/>
          <w:sz w:val="22"/>
          <w:szCs w:val="22"/>
        </w:rPr>
        <w:t xml:space="preserve">ay 14 and closed = </w:t>
      </w:r>
      <w:r w:rsidR="006C3957">
        <w:rPr>
          <w:rFonts w:asciiTheme="minorHAnsi" w:hAnsiTheme="minorHAnsi" w:cstheme="minorBidi"/>
          <w:sz w:val="22"/>
          <w:szCs w:val="22"/>
        </w:rPr>
        <w:t>d</w:t>
      </w:r>
      <w:r w:rsidR="00044E87">
        <w:rPr>
          <w:rFonts w:asciiTheme="minorHAnsi" w:hAnsiTheme="minorHAnsi" w:cstheme="minorBidi"/>
          <w:sz w:val="22"/>
          <w:szCs w:val="22"/>
        </w:rPr>
        <w:t xml:space="preserve">ay </w:t>
      </w:r>
      <w:r w:rsidR="00044E87">
        <w:rPr>
          <w:rFonts w:asciiTheme="minorHAnsi" w:hAnsiTheme="minorHAnsi" w:cstheme="minorBidi"/>
          <w:sz w:val="22"/>
          <w:szCs w:val="22"/>
        </w:rPr>
        <w:lastRenderedPageBreak/>
        <w:t xml:space="preserve">29. </w:t>
      </w:r>
      <w:r w:rsidRPr="6CA883F0">
        <w:rPr>
          <w:rFonts w:asciiTheme="minorHAnsi" w:hAnsiTheme="minorHAnsi" w:cstheme="minorBidi"/>
          <w:sz w:val="22"/>
          <w:szCs w:val="22"/>
        </w:rPr>
        <w:t>A strong effect of Bd infection was observed on overall gene</w:t>
      </w:r>
      <w:r w:rsidR="008C187D">
        <w:rPr>
          <w:rFonts w:asciiTheme="minorHAnsi" w:hAnsiTheme="minorHAnsi" w:cstheme="minorBidi"/>
          <w:sz w:val="22"/>
          <w:szCs w:val="22"/>
        </w:rPr>
        <w:t xml:space="preserve"> </w:t>
      </w:r>
      <w:r w:rsidRPr="6CA883F0">
        <w:rPr>
          <w:rFonts w:asciiTheme="minorHAnsi" w:hAnsiTheme="minorHAnsi" w:cstheme="minorBidi"/>
          <w:sz w:val="22"/>
          <w:szCs w:val="22"/>
        </w:rPr>
        <w:t xml:space="preserve">expression patterns and was unrelated to prior infection. </w:t>
      </w:r>
      <w:r w:rsidR="00D84B92">
        <w:rPr>
          <w:rFonts w:asciiTheme="minorHAnsi" w:hAnsiTheme="minorHAnsi" w:cstheme="minorBidi"/>
          <w:b/>
          <w:bCs/>
          <w:sz w:val="22"/>
          <w:szCs w:val="22"/>
        </w:rPr>
        <w:t>B</w:t>
      </w:r>
      <w:r w:rsidRPr="6CA883F0">
        <w:rPr>
          <w:rFonts w:asciiTheme="minorHAnsi" w:hAnsiTheme="minorHAnsi" w:cstheme="minorBidi"/>
          <w:sz w:val="22"/>
          <w:szCs w:val="22"/>
        </w:rPr>
        <w:t>) The variation in gene expression is related to Bd load reflected in Principal Component axis 1</w:t>
      </w:r>
      <w:r w:rsidR="00D84B92">
        <w:rPr>
          <w:rFonts w:asciiTheme="minorHAnsi" w:hAnsiTheme="minorHAnsi" w:cstheme="minorBidi"/>
          <w:sz w:val="22"/>
          <w:szCs w:val="22"/>
        </w:rPr>
        <w:t xml:space="preserve">. </w:t>
      </w:r>
      <w:r w:rsidR="00886943">
        <w:rPr>
          <w:rFonts w:asciiTheme="minorHAnsi" w:hAnsiTheme="minorHAnsi" w:cstheme="minorBidi"/>
          <w:sz w:val="22"/>
          <w:szCs w:val="22"/>
        </w:rPr>
        <w:t>Colored s</w:t>
      </w:r>
      <w:r w:rsidR="00D84B92">
        <w:rPr>
          <w:rFonts w:asciiTheme="minorHAnsi" w:hAnsiTheme="minorHAnsi" w:cstheme="minorBidi"/>
          <w:sz w:val="22"/>
          <w:szCs w:val="22"/>
        </w:rPr>
        <w:t>cale bar represents Bd load log</w:t>
      </w:r>
      <w:r w:rsidR="00D84B92" w:rsidRPr="00D84B92">
        <w:rPr>
          <w:rFonts w:asciiTheme="minorHAnsi" w:hAnsiTheme="minorHAnsi" w:cstheme="minorBidi"/>
          <w:sz w:val="22"/>
          <w:szCs w:val="22"/>
          <w:vertAlign w:val="subscript"/>
        </w:rPr>
        <w:t>10</w:t>
      </w:r>
      <w:r w:rsidR="00D84B92">
        <w:rPr>
          <w:rFonts w:asciiTheme="minorHAnsi" w:hAnsiTheme="minorHAnsi" w:cstheme="minorBidi"/>
          <w:sz w:val="22"/>
          <w:szCs w:val="22"/>
        </w:rPr>
        <w:t xml:space="preserve"> transformed</w:t>
      </w:r>
      <w:r w:rsidR="00E77178">
        <w:rPr>
          <w:rFonts w:asciiTheme="minorHAnsi" w:hAnsiTheme="minorHAnsi" w:cstheme="minorBidi"/>
          <w:sz w:val="22"/>
          <w:szCs w:val="22"/>
        </w:rPr>
        <w:t>.</w:t>
      </w:r>
      <w:r w:rsidR="00B05515">
        <w:rPr>
          <w:rFonts w:asciiTheme="minorHAnsi" w:hAnsiTheme="minorHAnsi" w:cstheme="minorBidi"/>
          <w:sz w:val="22"/>
          <w:szCs w:val="22"/>
        </w:rPr>
        <w:t xml:space="preserve"> Bd treatment 2 groups are shown by shape as Bd = triangle and mock = circle.</w:t>
      </w:r>
    </w:p>
    <w:p w14:paraId="22C7CD3A" w14:textId="63080F1D" w:rsidR="2DC3D427" w:rsidRPr="00DF46F6" w:rsidRDefault="00675A48" w:rsidP="3E35EA70">
      <w:pPr>
        <w:spacing w:line="480" w:lineRule="auto"/>
      </w:pPr>
      <w:r>
        <w:rPr>
          <w:noProof/>
        </w:rPr>
        <w:drawing>
          <wp:inline distT="0" distB="0" distL="0" distR="0" wp14:anchorId="4738B329" wp14:editId="36641852">
            <wp:extent cx="5146535" cy="6175842"/>
            <wp:effectExtent l="0" t="0" r="0" b="0"/>
            <wp:docPr id="1819817267" name="Picture 1" descr="A diagram of a dna seque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817267" name="Picture 1" descr="A diagram of a dna sequenc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5163865" cy="6196638"/>
                    </a:xfrm>
                    <a:prstGeom prst="rect">
                      <a:avLst/>
                    </a:prstGeom>
                  </pic:spPr>
                </pic:pic>
              </a:graphicData>
            </a:graphic>
          </wp:inline>
        </w:drawing>
      </w:r>
    </w:p>
    <w:p w14:paraId="5DBADB9F" w14:textId="0F180104" w:rsidR="00E86407" w:rsidRDefault="66CB1DC0" w:rsidP="552FBC60">
      <w:pPr>
        <w:spacing w:after="160" w:line="480" w:lineRule="auto"/>
        <w:rPr>
          <w:rFonts w:asciiTheme="minorHAnsi" w:hAnsiTheme="minorHAnsi" w:cstheme="minorBidi"/>
          <w:sz w:val="22"/>
          <w:szCs w:val="22"/>
        </w:rPr>
      </w:pPr>
      <w:r w:rsidRPr="66CB1DC0">
        <w:rPr>
          <w:rFonts w:asciiTheme="minorHAnsi" w:hAnsiTheme="minorHAnsi" w:cstheme="minorBidi"/>
          <w:b/>
          <w:bCs/>
          <w:sz w:val="22"/>
          <w:szCs w:val="22"/>
        </w:rPr>
        <w:t xml:space="preserve">Fig </w:t>
      </w:r>
      <w:r w:rsidR="004A050A">
        <w:rPr>
          <w:rFonts w:asciiTheme="minorHAnsi" w:hAnsiTheme="minorHAnsi" w:cstheme="minorBidi"/>
          <w:b/>
          <w:bCs/>
          <w:sz w:val="22"/>
          <w:szCs w:val="22"/>
        </w:rPr>
        <w:t>4</w:t>
      </w:r>
      <w:r w:rsidRPr="66CB1DC0">
        <w:rPr>
          <w:rFonts w:asciiTheme="minorHAnsi" w:hAnsiTheme="minorHAnsi" w:cstheme="minorBidi"/>
          <w:b/>
          <w:bCs/>
          <w:sz w:val="22"/>
          <w:szCs w:val="22"/>
        </w:rPr>
        <w:t>.</w:t>
      </w:r>
      <w:r w:rsidRPr="66CB1DC0">
        <w:rPr>
          <w:rFonts w:asciiTheme="minorHAnsi" w:hAnsiTheme="minorHAnsi" w:cstheme="minorBidi"/>
          <w:sz w:val="22"/>
          <w:szCs w:val="22"/>
        </w:rPr>
        <w:t xml:space="preserve">  </w:t>
      </w:r>
      <w:r w:rsidR="00A26A8F">
        <w:rPr>
          <w:rFonts w:asciiTheme="minorHAnsi" w:hAnsiTheme="minorHAnsi" w:cstheme="minorBidi"/>
          <w:sz w:val="22"/>
          <w:szCs w:val="22"/>
        </w:rPr>
        <w:t>Heatmap of e</w:t>
      </w:r>
      <w:r w:rsidRPr="66CB1DC0">
        <w:rPr>
          <w:rFonts w:asciiTheme="minorHAnsi" w:hAnsiTheme="minorHAnsi" w:cstheme="minorBidi"/>
          <w:sz w:val="22"/>
          <w:szCs w:val="22"/>
        </w:rPr>
        <w:t>xpression patterns for differentially expressed immune genes</w:t>
      </w:r>
      <w:r w:rsidR="00D362F0" w:rsidRPr="00D362F0">
        <w:rPr>
          <w:rFonts w:asciiTheme="minorHAnsi" w:hAnsiTheme="minorHAnsi" w:cstheme="minorBidi"/>
          <w:sz w:val="22"/>
          <w:szCs w:val="22"/>
        </w:rPr>
        <w:t xml:space="preserve">, organized based on four broad immune gene categories, </w:t>
      </w:r>
      <w:r w:rsidRPr="66CB1DC0">
        <w:rPr>
          <w:rFonts w:asciiTheme="minorHAnsi" w:hAnsiTheme="minorHAnsi" w:cstheme="minorBidi"/>
          <w:sz w:val="22"/>
          <w:szCs w:val="22"/>
        </w:rPr>
        <w:t xml:space="preserve">in the </w:t>
      </w:r>
      <w:r w:rsidRPr="00FC4CCE">
        <w:rPr>
          <w:rFonts w:asciiTheme="minorHAnsi" w:hAnsiTheme="minorHAnsi" w:cstheme="minorBidi"/>
          <w:i/>
          <w:iCs/>
          <w:sz w:val="22"/>
          <w:szCs w:val="22"/>
        </w:rPr>
        <w:t>pr</w:t>
      </w:r>
      <w:r w:rsidR="00FC4CCE" w:rsidRPr="00FC4CCE">
        <w:rPr>
          <w:rFonts w:asciiTheme="minorHAnsi" w:hAnsiTheme="minorHAnsi" w:cstheme="minorBidi"/>
          <w:i/>
          <w:iCs/>
          <w:sz w:val="22"/>
          <w:szCs w:val="22"/>
        </w:rPr>
        <w:t>ior infection</w:t>
      </w:r>
      <w:r w:rsidRPr="00FC4CCE">
        <w:rPr>
          <w:rFonts w:asciiTheme="minorHAnsi" w:hAnsiTheme="minorHAnsi" w:cstheme="minorBidi"/>
          <w:i/>
          <w:iCs/>
          <w:sz w:val="22"/>
          <w:szCs w:val="22"/>
        </w:rPr>
        <w:t xml:space="preserve"> specific gene </w:t>
      </w:r>
      <w:r w:rsidRPr="00FC4CCE">
        <w:rPr>
          <w:rFonts w:asciiTheme="minorHAnsi" w:hAnsiTheme="minorHAnsi" w:cstheme="minorBidi"/>
          <w:sz w:val="22"/>
          <w:szCs w:val="22"/>
        </w:rPr>
        <w:t>set</w:t>
      </w:r>
      <w:r w:rsidRPr="66CB1DC0">
        <w:rPr>
          <w:rFonts w:asciiTheme="minorHAnsi" w:hAnsiTheme="minorHAnsi" w:cstheme="minorBidi"/>
          <w:sz w:val="22"/>
          <w:szCs w:val="22"/>
        </w:rPr>
        <w:t xml:space="preserve"> at </w:t>
      </w:r>
      <w:r w:rsidR="00523531">
        <w:rPr>
          <w:rFonts w:asciiTheme="minorHAnsi" w:hAnsiTheme="minorHAnsi" w:cstheme="minorBidi"/>
          <w:sz w:val="22"/>
          <w:szCs w:val="22"/>
        </w:rPr>
        <w:t xml:space="preserve">late infection, </w:t>
      </w:r>
      <w:r w:rsidR="006C3957">
        <w:rPr>
          <w:rFonts w:asciiTheme="minorHAnsi" w:hAnsiTheme="minorHAnsi" w:cstheme="minorBidi"/>
          <w:sz w:val="22"/>
          <w:szCs w:val="22"/>
        </w:rPr>
        <w:t>d</w:t>
      </w:r>
      <w:r w:rsidR="00274B5A">
        <w:rPr>
          <w:rFonts w:asciiTheme="minorHAnsi" w:hAnsiTheme="minorHAnsi" w:cstheme="minorBidi"/>
          <w:sz w:val="22"/>
          <w:szCs w:val="22"/>
        </w:rPr>
        <w:t xml:space="preserve">ay 29 in Bd </w:t>
      </w:r>
      <w:r w:rsidR="00274B5A">
        <w:rPr>
          <w:rFonts w:asciiTheme="minorHAnsi" w:hAnsiTheme="minorHAnsi" w:cstheme="minorBidi"/>
          <w:sz w:val="22"/>
          <w:szCs w:val="22"/>
        </w:rPr>
        <w:lastRenderedPageBreak/>
        <w:t>treatment 2</w:t>
      </w:r>
      <w:r w:rsidRPr="66CB1DC0">
        <w:rPr>
          <w:rFonts w:asciiTheme="minorHAnsi" w:hAnsiTheme="minorHAnsi" w:cstheme="minorBidi"/>
          <w:sz w:val="22"/>
          <w:szCs w:val="22"/>
        </w:rPr>
        <w:t xml:space="preserve">. </w:t>
      </w:r>
      <w:r w:rsidR="00365E50">
        <w:rPr>
          <w:rFonts w:asciiTheme="minorHAnsi" w:hAnsiTheme="minorHAnsi" w:cstheme="minorBidi"/>
          <w:i/>
          <w:iCs/>
          <w:sz w:val="22"/>
          <w:szCs w:val="22"/>
        </w:rPr>
        <w:t>P</w:t>
      </w:r>
      <w:r w:rsidR="00365E50" w:rsidRPr="00FC4CCE">
        <w:rPr>
          <w:rFonts w:asciiTheme="minorHAnsi" w:hAnsiTheme="minorHAnsi" w:cstheme="minorBidi"/>
          <w:i/>
          <w:iCs/>
          <w:sz w:val="22"/>
          <w:szCs w:val="22"/>
        </w:rPr>
        <w:t xml:space="preserve">rior infection specific gene </w:t>
      </w:r>
      <w:r w:rsidR="00365E50">
        <w:rPr>
          <w:rFonts w:asciiTheme="minorHAnsi" w:hAnsiTheme="minorHAnsi" w:cstheme="minorBidi"/>
          <w:sz w:val="22"/>
          <w:szCs w:val="22"/>
        </w:rPr>
        <w:t>set are</w:t>
      </w:r>
      <w:r w:rsidR="00365E50" w:rsidRPr="66CB1DC0">
        <w:rPr>
          <w:rFonts w:asciiTheme="minorHAnsi" w:hAnsiTheme="minorHAnsi" w:cstheme="minorBidi"/>
          <w:sz w:val="22"/>
          <w:szCs w:val="22"/>
        </w:rPr>
        <w:t xml:space="preserve"> genes that were differentially expressed between </w:t>
      </w:r>
      <w:r w:rsidR="00317403">
        <w:rPr>
          <w:rFonts w:asciiTheme="minorHAnsi" w:hAnsiTheme="minorHAnsi" w:cstheme="minorBidi"/>
          <w:sz w:val="22"/>
          <w:szCs w:val="22"/>
        </w:rPr>
        <w:t>prior infection animals (</w:t>
      </w:r>
      <w:r w:rsidR="00365E50" w:rsidRPr="66CB1DC0">
        <w:rPr>
          <w:rFonts w:asciiTheme="minorHAnsi" w:hAnsiTheme="minorHAnsi" w:cstheme="minorBidi"/>
          <w:sz w:val="22"/>
          <w:szCs w:val="22"/>
        </w:rPr>
        <w:t>Bd-mock</w:t>
      </w:r>
      <w:r w:rsidR="00D32E18">
        <w:rPr>
          <w:rFonts w:asciiTheme="minorHAnsi" w:hAnsiTheme="minorHAnsi" w:cstheme="minorBidi"/>
          <w:sz w:val="22"/>
          <w:szCs w:val="22"/>
        </w:rPr>
        <w:t xml:space="preserve"> and Bd-Bd</w:t>
      </w:r>
      <w:r w:rsidR="00317403">
        <w:rPr>
          <w:rFonts w:asciiTheme="minorHAnsi" w:hAnsiTheme="minorHAnsi" w:cstheme="minorBidi"/>
          <w:sz w:val="22"/>
          <w:szCs w:val="22"/>
        </w:rPr>
        <w:t>),</w:t>
      </w:r>
      <w:r w:rsidR="00365E50" w:rsidRPr="66CB1DC0">
        <w:rPr>
          <w:rFonts w:asciiTheme="minorHAnsi" w:hAnsiTheme="minorHAnsi" w:cstheme="minorBidi"/>
          <w:sz w:val="22"/>
          <w:szCs w:val="22"/>
        </w:rPr>
        <w:t xml:space="preserve"> but not between </w:t>
      </w:r>
      <w:r w:rsidR="00104738">
        <w:rPr>
          <w:rFonts w:asciiTheme="minorHAnsi" w:hAnsiTheme="minorHAnsi" w:cstheme="minorBidi"/>
          <w:sz w:val="22"/>
          <w:szCs w:val="22"/>
        </w:rPr>
        <w:t>naïve animals (</w:t>
      </w:r>
      <w:r w:rsidR="00365E50" w:rsidRPr="66CB1DC0">
        <w:rPr>
          <w:rFonts w:asciiTheme="minorHAnsi" w:hAnsiTheme="minorHAnsi" w:cstheme="minorBidi"/>
          <w:sz w:val="22"/>
          <w:szCs w:val="22"/>
        </w:rPr>
        <w:t>mock-</w:t>
      </w:r>
      <w:r w:rsidR="00D32E18">
        <w:rPr>
          <w:rFonts w:asciiTheme="minorHAnsi" w:hAnsiTheme="minorHAnsi" w:cstheme="minorBidi"/>
          <w:sz w:val="22"/>
          <w:szCs w:val="22"/>
        </w:rPr>
        <w:t>mock</w:t>
      </w:r>
      <w:r w:rsidR="00365E50" w:rsidRPr="66CB1DC0">
        <w:rPr>
          <w:rFonts w:asciiTheme="minorHAnsi" w:hAnsiTheme="minorHAnsi" w:cstheme="minorBidi"/>
          <w:sz w:val="22"/>
          <w:szCs w:val="22"/>
        </w:rPr>
        <w:t xml:space="preserve"> and mock-</w:t>
      </w:r>
      <w:r w:rsidR="00D32E18">
        <w:rPr>
          <w:rFonts w:asciiTheme="minorHAnsi" w:hAnsiTheme="minorHAnsi" w:cstheme="minorBidi"/>
          <w:sz w:val="22"/>
          <w:szCs w:val="22"/>
        </w:rPr>
        <w:t>Bd</w:t>
      </w:r>
      <w:r w:rsidR="00104738">
        <w:rPr>
          <w:rFonts w:asciiTheme="minorHAnsi" w:hAnsiTheme="minorHAnsi" w:cstheme="minorBidi"/>
          <w:sz w:val="22"/>
          <w:szCs w:val="22"/>
        </w:rPr>
        <w:t>)</w:t>
      </w:r>
      <w:r w:rsidR="00365E50">
        <w:rPr>
          <w:rFonts w:asciiTheme="minorHAnsi" w:hAnsiTheme="minorHAnsi" w:cstheme="minorBidi"/>
          <w:sz w:val="22"/>
          <w:szCs w:val="22"/>
        </w:rPr>
        <w:t>.</w:t>
      </w:r>
      <w:r w:rsidR="00365E50" w:rsidRPr="66CB1DC0">
        <w:rPr>
          <w:rFonts w:asciiTheme="minorHAnsi" w:hAnsiTheme="minorHAnsi" w:cstheme="minorBidi"/>
          <w:sz w:val="22"/>
          <w:szCs w:val="22"/>
        </w:rPr>
        <w:t xml:space="preserve"> </w:t>
      </w:r>
      <w:r w:rsidR="001C5DED">
        <w:rPr>
          <w:rFonts w:asciiTheme="minorHAnsi" w:hAnsiTheme="minorHAnsi" w:cstheme="minorBidi"/>
          <w:sz w:val="22"/>
          <w:szCs w:val="22"/>
        </w:rPr>
        <w:t>Colored scale bar represents gene e</w:t>
      </w:r>
      <w:r w:rsidR="001C5DED" w:rsidRPr="09BE6804">
        <w:rPr>
          <w:rFonts w:asciiTheme="minorHAnsi" w:hAnsiTheme="minorHAnsi" w:cstheme="minorBidi"/>
          <w:sz w:val="22"/>
          <w:szCs w:val="22"/>
        </w:rPr>
        <w:t xml:space="preserve">xpression values </w:t>
      </w:r>
      <w:r w:rsidR="001C5DED">
        <w:rPr>
          <w:rFonts w:asciiTheme="minorHAnsi" w:hAnsiTheme="minorHAnsi" w:cstheme="minorBidi"/>
          <w:sz w:val="22"/>
          <w:szCs w:val="22"/>
        </w:rPr>
        <w:t>that were</w:t>
      </w:r>
      <w:r w:rsidR="001C5DED" w:rsidRPr="09BE6804">
        <w:rPr>
          <w:rFonts w:asciiTheme="minorHAnsi" w:hAnsiTheme="minorHAnsi" w:cstheme="minorBidi"/>
          <w:sz w:val="22"/>
          <w:szCs w:val="22"/>
        </w:rPr>
        <w:t xml:space="preserve"> scaled per row (i.e. per gene) </w:t>
      </w:r>
      <w:r w:rsidR="001C5DED">
        <w:rPr>
          <w:rFonts w:asciiTheme="minorHAnsi" w:hAnsiTheme="minorHAnsi" w:cstheme="minorBidi"/>
          <w:sz w:val="22"/>
          <w:szCs w:val="22"/>
        </w:rPr>
        <w:t>using</w:t>
      </w:r>
      <w:r w:rsidR="001C5DED" w:rsidRPr="004900B2">
        <w:rPr>
          <w:rFonts w:asciiTheme="minorHAnsi" w:hAnsiTheme="minorHAnsi" w:cstheme="minorBidi"/>
          <w:sz w:val="22"/>
          <w:szCs w:val="22"/>
        </w:rPr>
        <w:t xml:space="preserve"> Z-scores, </w:t>
      </w:r>
      <w:r w:rsidR="001C5DED">
        <w:rPr>
          <w:rFonts w:asciiTheme="minorHAnsi" w:hAnsiTheme="minorHAnsi" w:cstheme="minorBidi"/>
          <w:sz w:val="22"/>
          <w:szCs w:val="22"/>
        </w:rPr>
        <w:t>which indicate</w:t>
      </w:r>
      <w:r w:rsidR="001C5DED" w:rsidRPr="004900B2">
        <w:rPr>
          <w:rFonts w:asciiTheme="minorHAnsi" w:hAnsiTheme="minorHAnsi" w:cstheme="minorBidi"/>
          <w:sz w:val="22"/>
          <w:szCs w:val="22"/>
        </w:rPr>
        <w:t xml:space="preserve"> how many standard deviations a gene's expression is from its mean expression across all samples (</w:t>
      </w:r>
      <w:r w:rsidR="001C5DED">
        <w:rPr>
          <w:rFonts w:asciiTheme="minorHAnsi" w:hAnsiTheme="minorHAnsi" w:cstheme="minorBidi"/>
          <w:sz w:val="22"/>
          <w:szCs w:val="22"/>
        </w:rPr>
        <w:t>i.e</w:t>
      </w:r>
      <w:r w:rsidR="001C5DED" w:rsidRPr="004900B2">
        <w:rPr>
          <w:rFonts w:asciiTheme="minorHAnsi" w:hAnsiTheme="minorHAnsi" w:cstheme="minorBidi"/>
          <w:sz w:val="22"/>
          <w:szCs w:val="22"/>
        </w:rPr>
        <w:t>., -2 to +2).</w:t>
      </w:r>
    </w:p>
    <w:p w14:paraId="6C3A1EAE" w14:textId="77777777" w:rsidR="004A050A" w:rsidRPr="00D16989" w:rsidRDefault="004A050A" w:rsidP="004A050A">
      <w:pPr>
        <w:spacing w:after="160" w:line="480" w:lineRule="auto"/>
      </w:pPr>
      <w:r>
        <w:rPr>
          <w:noProof/>
        </w:rPr>
        <w:drawing>
          <wp:inline distT="0" distB="0" distL="0" distR="0" wp14:anchorId="074FFB9F" wp14:editId="1435BFF5">
            <wp:extent cx="4876800" cy="5943600"/>
            <wp:effectExtent l="0" t="0" r="0" b="0"/>
            <wp:docPr id="186038195" name="drawing" descr="A diagram of a number of ce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38195" name="drawing" descr="A diagram of a number of cells&#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4876800" cy="5943600"/>
                    </a:xfrm>
                    <a:prstGeom prst="rect">
                      <a:avLst/>
                    </a:prstGeom>
                  </pic:spPr>
                </pic:pic>
              </a:graphicData>
            </a:graphic>
          </wp:inline>
        </w:drawing>
      </w:r>
    </w:p>
    <w:p w14:paraId="1B6D0FC6" w14:textId="11BC380A" w:rsidR="004A050A" w:rsidRPr="00D16989" w:rsidRDefault="09BE6804" w:rsidP="09BE6804">
      <w:pPr>
        <w:spacing w:after="160" w:line="480" w:lineRule="auto"/>
        <w:rPr>
          <w:rFonts w:asciiTheme="minorHAnsi" w:hAnsiTheme="minorHAnsi" w:cstheme="minorBidi"/>
          <w:sz w:val="22"/>
          <w:szCs w:val="22"/>
        </w:rPr>
      </w:pPr>
      <w:r w:rsidRPr="09BE6804">
        <w:rPr>
          <w:rFonts w:asciiTheme="minorHAnsi" w:hAnsiTheme="minorHAnsi" w:cstheme="minorBidi"/>
          <w:b/>
          <w:bCs/>
          <w:sz w:val="22"/>
          <w:szCs w:val="22"/>
        </w:rPr>
        <w:lastRenderedPageBreak/>
        <w:t>Figure 5.</w:t>
      </w:r>
      <w:r w:rsidRPr="09BE6804">
        <w:rPr>
          <w:rFonts w:asciiTheme="minorHAnsi" w:hAnsiTheme="minorHAnsi" w:cstheme="minorBidi"/>
          <w:sz w:val="22"/>
          <w:szCs w:val="22"/>
        </w:rPr>
        <w:t xml:space="preserve"> </w:t>
      </w:r>
      <w:r w:rsidR="00A26A8F">
        <w:rPr>
          <w:rFonts w:asciiTheme="minorHAnsi" w:hAnsiTheme="minorHAnsi" w:cstheme="minorBidi"/>
          <w:sz w:val="22"/>
          <w:szCs w:val="22"/>
        </w:rPr>
        <w:t>Heatmap of e</w:t>
      </w:r>
      <w:r w:rsidRPr="09BE6804">
        <w:rPr>
          <w:rFonts w:asciiTheme="minorHAnsi" w:hAnsiTheme="minorHAnsi" w:cstheme="minorBidi"/>
          <w:sz w:val="22"/>
          <w:szCs w:val="22"/>
        </w:rPr>
        <w:t>xpression patterns for differentially expressed immune genes</w:t>
      </w:r>
      <w:r w:rsidR="000E413A" w:rsidRPr="00D362F0">
        <w:rPr>
          <w:rFonts w:asciiTheme="minorHAnsi" w:hAnsiTheme="minorHAnsi" w:cstheme="minorBidi"/>
          <w:sz w:val="22"/>
          <w:szCs w:val="22"/>
        </w:rPr>
        <w:t>, organized based on four broad immune gene categories,</w:t>
      </w:r>
      <w:r w:rsidRPr="09BE6804">
        <w:rPr>
          <w:rFonts w:asciiTheme="minorHAnsi" w:hAnsiTheme="minorHAnsi" w:cstheme="minorBidi"/>
          <w:sz w:val="22"/>
          <w:szCs w:val="22"/>
        </w:rPr>
        <w:t xml:space="preserve"> in the </w:t>
      </w:r>
      <w:r w:rsidRPr="09BE6804">
        <w:rPr>
          <w:rFonts w:asciiTheme="minorHAnsi" w:hAnsiTheme="minorHAnsi" w:cstheme="minorBidi"/>
          <w:i/>
          <w:iCs/>
          <w:sz w:val="22"/>
          <w:szCs w:val="22"/>
        </w:rPr>
        <w:t>infection specific gene set</w:t>
      </w:r>
      <w:r w:rsidRPr="09BE6804">
        <w:rPr>
          <w:rFonts w:asciiTheme="minorHAnsi" w:hAnsiTheme="minorHAnsi" w:cstheme="minorBidi"/>
          <w:sz w:val="22"/>
          <w:szCs w:val="22"/>
        </w:rPr>
        <w:t xml:space="preserve"> (i.e. genes that were differentially expressed between all infected vs uninfected comparisons) at late infection</w:t>
      </w:r>
      <w:r w:rsidR="000E413A">
        <w:rPr>
          <w:rFonts w:asciiTheme="minorHAnsi" w:hAnsiTheme="minorHAnsi" w:cstheme="minorBidi"/>
          <w:sz w:val="22"/>
          <w:szCs w:val="22"/>
        </w:rPr>
        <w:t xml:space="preserve">, </w:t>
      </w:r>
      <w:r w:rsidR="006C3957">
        <w:rPr>
          <w:rFonts w:asciiTheme="minorHAnsi" w:hAnsiTheme="minorHAnsi" w:cstheme="minorBidi"/>
          <w:sz w:val="22"/>
          <w:szCs w:val="22"/>
        </w:rPr>
        <w:t>d</w:t>
      </w:r>
      <w:r w:rsidR="000E413A">
        <w:rPr>
          <w:rFonts w:asciiTheme="minorHAnsi" w:hAnsiTheme="minorHAnsi" w:cstheme="minorBidi"/>
          <w:sz w:val="22"/>
          <w:szCs w:val="22"/>
        </w:rPr>
        <w:t xml:space="preserve">ay 29 </w:t>
      </w:r>
      <w:r w:rsidR="007D5EB6">
        <w:rPr>
          <w:rFonts w:asciiTheme="minorHAnsi" w:hAnsiTheme="minorHAnsi" w:cstheme="minorBidi"/>
          <w:sz w:val="22"/>
          <w:szCs w:val="22"/>
        </w:rPr>
        <w:t>in</w:t>
      </w:r>
      <w:r w:rsidR="000E413A">
        <w:rPr>
          <w:rFonts w:asciiTheme="minorHAnsi" w:hAnsiTheme="minorHAnsi" w:cstheme="minorBidi"/>
          <w:sz w:val="22"/>
          <w:szCs w:val="22"/>
        </w:rPr>
        <w:t xml:space="preserve"> Bd treatment 2</w:t>
      </w:r>
      <w:r w:rsidRPr="09BE6804">
        <w:rPr>
          <w:rFonts w:asciiTheme="minorHAnsi" w:hAnsiTheme="minorHAnsi" w:cstheme="minorBidi"/>
          <w:sz w:val="22"/>
          <w:szCs w:val="22"/>
        </w:rPr>
        <w:t>.</w:t>
      </w:r>
      <w:r w:rsidRPr="007D5EB6">
        <w:rPr>
          <w:rFonts w:asciiTheme="minorHAnsi" w:hAnsiTheme="minorHAnsi" w:cstheme="minorBidi"/>
          <w:i/>
          <w:iCs/>
          <w:sz w:val="22"/>
          <w:szCs w:val="22"/>
        </w:rPr>
        <w:t xml:space="preserve"> </w:t>
      </w:r>
      <w:r w:rsidR="007D5EB6" w:rsidRPr="007D5EB6">
        <w:rPr>
          <w:rFonts w:asciiTheme="minorHAnsi" w:hAnsiTheme="minorHAnsi" w:cstheme="minorBidi"/>
          <w:i/>
          <w:iCs/>
          <w:sz w:val="22"/>
          <w:szCs w:val="22"/>
        </w:rPr>
        <w:t>Infection</w:t>
      </w:r>
      <w:r w:rsidR="007D5EB6" w:rsidRPr="09BE6804">
        <w:rPr>
          <w:rFonts w:asciiTheme="minorHAnsi" w:hAnsiTheme="minorHAnsi" w:cstheme="minorBidi"/>
          <w:i/>
          <w:iCs/>
          <w:sz w:val="22"/>
          <w:szCs w:val="22"/>
        </w:rPr>
        <w:t xml:space="preserve"> specific gene </w:t>
      </w:r>
      <w:r w:rsidR="007D5EB6" w:rsidRPr="007D5EB6">
        <w:rPr>
          <w:rFonts w:asciiTheme="minorHAnsi" w:hAnsiTheme="minorHAnsi" w:cstheme="minorBidi"/>
          <w:sz w:val="22"/>
          <w:szCs w:val="22"/>
        </w:rPr>
        <w:t xml:space="preserve">set </w:t>
      </w:r>
      <w:r w:rsidR="007D5EB6">
        <w:rPr>
          <w:rFonts w:asciiTheme="minorHAnsi" w:hAnsiTheme="minorHAnsi" w:cstheme="minorBidi"/>
          <w:sz w:val="22"/>
          <w:szCs w:val="22"/>
        </w:rPr>
        <w:t>are</w:t>
      </w:r>
      <w:r w:rsidR="007D5EB6" w:rsidRPr="09BE6804">
        <w:rPr>
          <w:rFonts w:asciiTheme="minorHAnsi" w:hAnsiTheme="minorHAnsi" w:cstheme="minorBidi"/>
          <w:sz w:val="22"/>
          <w:szCs w:val="22"/>
        </w:rPr>
        <w:t xml:space="preserve"> genes that were differentially expressed between all </w:t>
      </w:r>
      <w:r w:rsidR="007201C2">
        <w:rPr>
          <w:rFonts w:asciiTheme="minorHAnsi" w:hAnsiTheme="minorHAnsi" w:cstheme="minorBidi"/>
          <w:sz w:val="22"/>
          <w:szCs w:val="22"/>
        </w:rPr>
        <w:t xml:space="preserve">currently </w:t>
      </w:r>
      <w:r w:rsidR="007D5EB6" w:rsidRPr="09BE6804">
        <w:rPr>
          <w:rFonts w:asciiTheme="minorHAnsi" w:hAnsiTheme="minorHAnsi" w:cstheme="minorBidi"/>
          <w:sz w:val="22"/>
          <w:szCs w:val="22"/>
        </w:rPr>
        <w:t>infected</w:t>
      </w:r>
      <w:r w:rsidR="007201C2">
        <w:rPr>
          <w:rFonts w:asciiTheme="minorHAnsi" w:hAnsiTheme="minorHAnsi" w:cstheme="minorBidi"/>
          <w:sz w:val="22"/>
          <w:szCs w:val="22"/>
        </w:rPr>
        <w:t xml:space="preserve"> animals (mock-Bd and Bd-Bd)</w:t>
      </w:r>
      <w:r w:rsidR="007D5EB6" w:rsidRPr="09BE6804">
        <w:rPr>
          <w:rFonts w:asciiTheme="minorHAnsi" w:hAnsiTheme="minorHAnsi" w:cstheme="minorBidi"/>
          <w:sz w:val="22"/>
          <w:szCs w:val="22"/>
        </w:rPr>
        <w:t xml:space="preserve"> v</w:t>
      </w:r>
      <w:r w:rsidR="007201C2">
        <w:rPr>
          <w:rFonts w:asciiTheme="minorHAnsi" w:hAnsiTheme="minorHAnsi" w:cstheme="minorBidi"/>
          <w:sz w:val="22"/>
          <w:szCs w:val="22"/>
        </w:rPr>
        <w:t>ersus</w:t>
      </w:r>
      <w:r w:rsidR="007D5EB6" w:rsidRPr="09BE6804">
        <w:rPr>
          <w:rFonts w:asciiTheme="minorHAnsi" w:hAnsiTheme="minorHAnsi" w:cstheme="minorBidi"/>
          <w:sz w:val="22"/>
          <w:szCs w:val="22"/>
        </w:rPr>
        <w:t xml:space="preserve"> uninfected </w:t>
      </w:r>
      <w:r w:rsidR="00261126">
        <w:rPr>
          <w:rFonts w:asciiTheme="minorHAnsi" w:hAnsiTheme="minorHAnsi" w:cstheme="minorBidi"/>
          <w:sz w:val="22"/>
          <w:szCs w:val="22"/>
        </w:rPr>
        <w:t>animals (</w:t>
      </w:r>
      <w:r w:rsidR="00E428C7">
        <w:rPr>
          <w:rFonts w:asciiTheme="minorHAnsi" w:hAnsiTheme="minorHAnsi" w:cstheme="minorBidi"/>
          <w:sz w:val="22"/>
          <w:szCs w:val="22"/>
        </w:rPr>
        <w:t>mock-mock and Bd-mock)</w:t>
      </w:r>
      <w:r w:rsidR="007201C2">
        <w:rPr>
          <w:rFonts w:asciiTheme="minorHAnsi" w:hAnsiTheme="minorHAnsi" w:cstheme="minorBidi"/>
          <w:sz w:val="22"/>
          <w:szCs w:val="22"/>
        </w:rPr>
        <w:t>.</w:t>
      </w:r>
      <w:r w:rsidR="007D5EB6" w:rsidRPr="09BE6804">
        <w:rPr>
          <w:rFonts w:asciiTheme="minorHAnsi" w:hAnsiTheme="minorHAnsi" w:cstheme="minorBidi"/>
          <w:sz w:val="22"/>
          <w:szCs w:val="22"/>
        </w:rPr>
        <w:t xml:space="preserve"> </w:t>
      </w:r>
      <w:r w:rsidR="008A45DA">
        <w:rPr>
          <w:rFonts w:asciiTheme="minorHAnsi" w:hAnsiTheme="minorHAnsi" w:cstheme="minorBidi"/>
          <w:sz w:val="22"/>
          <w:szCs w:val="22"/>
        </w:rPr>
        <w:t>Colored scale bar represents gene e</w:t>
      </w:r>
      <w:r w:rsidRPr="09BE6804">
        <w:rPr>
          <w:rFonts w:asciiTheme="minorHAnsi" w:hAnsiTheme="minorHAnsi" w:cstheme="minorBidi"/>
          <w:sz w:val="22"/>
          <w:szCs w:val="22"/>
        </w:rPr>
        <w:t xml:space="preserve">xpression values </w:t>
      </w:r>
      <w:r w:rsidR="008A45DA">
        <w:rPr>
          <w:rFonts w:asciiTheme="minorHAnsi" w:hAnsiTheme="minorHAnsi" w:cstheme="minorBidi"/>
          <w:sz w:val="22"/>
          <w:szCs w:val="22"/>
        </w:rPr>
        <w:t>that were</w:t>
      </w:r>
      <w:r w:rsidRPr="09BE6804">
        <w:rPr>
          <w:rFonts w:asciiTheme="minorHAnsi" w:hAnsiTheme="minorHAnsi" w:cstheme="minorBidi"/>
          <w:sz w:val="22"/>
          <w:szCs w:val="22"/>
        </w:rPr>
        <w:t xml:space="preserve"> scaled per row (i.e. per gene) </w:t>
      </w:r>
      <w:r w:rsidR="004900B2">
        <w:rPr>
          <w:rFonts w:asciiTheme="minorHAnsi" w:hAnsiTheme="minorHAnsi" w:cstheme="minorBidi"/>
          <w:sz w:val="22"/>
          <w:szCs w:val="22"/>
        </w:rPr>
        <w:t>using</w:t>
      </w:r>
      <w:r w:rsidR="004900B2" w:rsidRPr="004900B2">
        <w:rPr>
          <w:rFonts w:asciiTheme="minorHAnsi" w:hAnsiTheme="minorHAnsi" w:cstheme="minorBidi"/>
          <w:sz w:val="22"/>
          <w:szCs w:val="22"/>
        </w:rPr>
        <w:t xml:space="preserve"> Z-scores</w:t>
      </w:r>
      <w:r w:rsidR="00B77748">
        <w:rPr>
          <w:rFonts w:asciiTheme="minorHAnsi" w:hAnsiTheme="minorHAnsi" w:cstheme="minorBidi"/>
          <w:sz w:val="22"/>
          <w:szCs w:val="22"/>
        </w:rPr>
        <w:t>.</w:t>
      </w:r>
    </w:p>
    <w:p w14:paraId="717159E6" w14:textId="77777777" w:rsidR="00516E32" w:rsidRDefault="00516E32" w:rsidP="09BE6804">
      <w:pPr>
        <w:spacing w:after="160" w:line="480" w:lineRule="auto"/>
        <w:rPr>
          <w:rFonts w:asciiTheme="minorHAnsi" w:hAnsiTheme="minorHAnsi" w:cstheme="minorBidi"/>
          <w:b/>
          <w:bCs/>
          <w:sz w:val="22"/>
          <w:szCs w:val="22"/>
        </w:rPr>
      </w:pPr>
    </w:p>
    <w:p w14:paraId="37A94B9F" w14:textId="451FD669" w:rsidR="00B57C5D" w:rsidRPr="00D16989" w:rsidRDefault="09BE6804" w:rsidP="09BE6804">
      <w:pPr>
        <w:spacing w:after="160" w:line="480" w:lineRule="auto"/>
        <w:rPr>
          <w:rFonts w:asciiTheme="minorHAnsi" w:hAnsiTheme="minorHAnsi" w:cstheme="minorBidi"/>
          <w:b/>
          <w:bCs/>
          <w:sz w:val="22"/>
          <w:szCs w:val="22"/>
        </w:rPr>
      </w:pPr>
      <w:r w:rsidRPr="09BE6804">
        <w:rPr>
          <w:rFonts w:asciiTheme="minorHAnsi" w:hAnsiTheme="minorHAnsi" w:cstheme="minorBidi"/>
          <w:b/>
          <w:bCs/>
          <w:sz w:val="22"/>
          <w:szCs w:val="22"/>
        </w:rPr>
        <w:t>The consequences of itraconazole treatment, Bd infection and reinfection on host microbiomes</w:t>
      </w:r>
    </w:p>
    <w:p w14:paraId="74C6D213" w14:textId="7BE6044E" w:rsidR="00B57C5D" w:rsidRPr="00D16989" w:rsidRDefault="38AB5ADD" w:rsidP="552FBC60">
      <w:pPr>
        <w:spacing w:line="480" w:lineRule="auto"/>
        <w:rPr>
          <w:rFonts w:asciiTheme="minorHAnsi" w:hAnsiTheme="minorHAnsi" w:cstheme="minorBidi"/>
          <w:sz w:val="22"/>
          <w:szCs w:val="22"/>
        </w:rPr>
      </w:pPr>
      <w:r w:rsidRPr="38AB5ADD">
        <w:rPr>
          <w:rFonts w:asciiTheme="minorHAnsi" w:hAnsiTheme="minorHAnsi" w:cstheme="minorBidi"/>
          <w:sz w:val="22"/>
          <w:szCs w:val="22"/>
        </w:rPr>
        <w:t xml:space="preserve">Given that we were treating the animals with an antifungal compound, we were first interested in the effects of itraconazole on the microbiome. We compared 10 mock-mock animals treated with itraconazole to the 10 untreated control animals at </w:t>
      </w:r>
      <w:r w:rsidR="00696210">
        <w:rPr>
          <w:rFonts w:asciiTheme="minorHAnsi" w:hAnsiTheme="minorHAnsi" w:cstheme="minorBidi"/>
          <w:sz w:val="22"/>
          <w:szCs w:val="22"/>
        </w:rPr>
        <w:t xml:space="preserve">1 d before </w:t>
      </w:r>
      <w:r w:rsidRPr="38AB5ADD">
        <w:rPr>
          <w:rFonts w:asciiTheme="minorHAnsi" w:hAnsiTheme="minorHAnsi" w:cstheme="minorBidi"/>
          <w:sz w:val="22"/>
          <w:szCs w:val="22"/>
        </w:rPr>
        <w:t>exposure to Bd, 18 d and 90 d post itraconazole in the first Bd treatment se</w:t>
      </w:r>
      <w:r w:rsidR="00696210">
        <w:rPr>
          <w:rFonts w:asciiTheme="minorHAnsi" w:hAnsiTheme="minorHAnsi" w:cstheme="minorBidi"/>
          <w:sz w:val="22"/>
          <w:szCs w:val="22"/>
        </w:rPr>
        <w:t>ction</w:t>
      </w:r>
      <w:r w:rsidRPr="38AB5ADD">
        <w:rPr>
          <w:rFonts w:asciiTheme="minorHAnsi" w:hAnsiTheme="minorHAnsi" w:cstheme="minorBidi"/>
          <w:sz w:val="22"/>
          <w:szCs w:val="22"/>
        </w:rPr>
        <w:t xml:space="preserve"> of the experiment. We were unable to analyze the fungal community from the samples taken at 18 d post itraconazole due to low sequence </w:t>
      </w:r>
      <w:r w:rsidR="009B69B9">
        <w:rPr>
          <w:rFonts w:asciiTheme="minorHAnsi" w:hAnsiTheme="minorHAnsi" w:cstheme="minorBidi"/>
          <w:sz w:val="22"/>
          <w:szCs w:val="22"/>
        </w:rPr>
        <w:t>coverage</w:t>
      </w:r>
      <w:r w:rsidRPr="38AB5ADD">
        <w:rPr>
          <w:rFonts w:asciiTheme="minorHAnsi" w:hAnsiTheme="minorHAnsi" w:cstheme="minorBidi"/>
          <w:sz w:val="22"/>
          <w:szCs w:val="22"/>
        </w:rPr>
        <w:t>, suggesting that overall fungal abundance was reduced. Bacterial richness was not affected by the itraconazole treatment 18 and 90 d after itraconazole nor was fungal richness at 90 d after timepoint (ANOVAs, Kruskal-Wallis: p &gt; 0.05). However, itraconazole significantly shifted the bacterial composition 18 d post itraconazole</w:t>
      </w:r>
      <w:r w:rsidR="00BB5945">
        <w:rPr>
          <w:rFonts w:asciiTheme="minorHAnsi" w:hAnsiTheme="minorHAnsi" w:cstheme="minorBidi"/>
          <w:sz w:val="22"/>
          <w:szCs w:val="22"/>
        </w:rPr>
        <w:t xml:space="preserve"> treatment</w:t>
      </w:r>
      <w:r w:rsidRPr="38AB5ADD">
        <w:rPr>
          <w:rFonts w:asciiTheme="minorHAnsi" w:hAnsiTheme="minorHAnsi" w:cstheme="minorBidi"/>
          <w:sz w:val="22"/>
          <w:szCs w:val="22"/>
        </w:rPr>
        <w:t xml:space="preserve"> (PERMANOVA: Bray-Curtis F = 1.812, p = 0.002; Supplemental Fig. S8). This was only temporary as 90 d following the itraconazole treatment the two groups no longer differed in bacterial or fungal composition (PERMANOVA p &gt; 0.05; Supplemental Fig. S8). Furthermore, itraconazole treatment did not appear to have any long-term effects on overall host gene expression (Supplemental Fig. S10). There were relatively few DEGs related to itraconazole treatment (mock-mock vs. untreated </w:t>
      </w:r>
      <w:r w:rsidRPr="38AB5ADD">
        <w:rPr>
          <w:rFonts w:asciiTheme="minorHAnsi" w:hAnsiTheme="minorHAnsi" w:cstheme="minorBidi"/>
          <w:sz w:val="22"/>
          <w:szCs w:val="22"/>
        </w:rPr>
        <w:lastRenderedPageBreak/>
        <w:t xml:space="preserve">animals: TP1 = 47 DEGs, TP2 = 37 DEGs; </w:t>
      </w:r>
      <w:r w:rsidR="0004161B">
        <w:rPr>
          <w:rFonts w:asciiTheme="minorHAnsi" w:hAnsiTheme="minorHAnsi" w:cstheme="minorBidi"/>
          <w:sz w:val="22"/>
          <w:szCs w:val="22"/>
        </w:rPr>
        <w:t xml:space="preserve">Supplemental </w:t>
      </w:r>
      <w:r w:rsidRPr="38AB5ADD">
        <w:rPr>
          <w:rFonts w:asciiTheme="minorHAnsi" w:hAnsiTheme="minorHAnsi" w:cstheme="minorBidi"/>
          <w:sz w:val="22"/>
          <w:szCs w:val="22"/>
        </w:rPr>
        <w:t xml:space="preserve">Fig. S3) and these did not include known immune-related genes </w:t>
      </w:r>
    </w:p>
    <w:p w14:paraId="432EBB92" w14:textId="77777777" w:rsidR="00F912E2" w:rsidRDefault="00F912E2" w:rsidP="00F912E2">
      <w:pPr>
        <w:spacing w:line="480" w:lineRule="auto"/>
        <w:rPr>
          <w:rFonts w:asciiTheme="minorHAnsi" w:hAnsiTheme="minorHAnsi" w:cstheme="minorHAnsi"/>
          <w:sz w:val="22"/>
          <w:szCs w:val="22"/>
        </w:rPr>
      </w:pPr>
    </w:p>
    <w:p w14:paraId="7BF8A835" w14:textId="040516CA" w:rsidR="00AA6476" w:rsidRDefault="4B3B2A9F" w:rsidP="552FBC60">
      <w:pPr>
        <w:spacing w:line="480" w:lineRule="auto"/>
        <w:rPr>
          <w:rFonts w:asciiTheme="minorHAnsi" w:hAnsiTheme="minorHAnsi" w:cstheme="minorBidi"/>
          <w:sz w:val="22"/>
          <w:szCs w:val="22"/>
        </w:rPr>
      </w:pPr>
      <w:r w:rsidRPr="4B3B2A9F">
        <w:rPr>
          <w:rFonts w:asciiTheme="minorHAnsi" w:hAnsiTheme="minorHAnsi" w:cstheme="minorBidi"/>
          <w:sz w:val="22"/>
          <w:szCs w:val="22"/>
        </w:rPr>
        <w:t>At 90 d after Bd clearance (1 d before Bd treatment 2) prior Bd infection led to persistent changes in the skin bacterial and fungal communities. Prior-exposed animals (Bd-mock and Bd-Bd) possessed distinct changes in their skin bacterial composition (PERMANOVA: Bray-Curtis F = 4.83, p = 0.001; Tukey’s HSD p = 0.003; Fig. 6a</w:t>
      </w:r>
      <w:r w:rsidR="00661F2E">
        <w:rPr>
          <w:rFonts w:asciiTheme="minorHAnsi" w:hAnsiTheme="minorHAnsi" w:cstheme="minorBidi"/>
          <w:sz w:val="22"/>
          <w:szCs w:val="22"/>
        </w:rPr>
        <w:t xml:space="preserve">, Supplementary </w:t>
      </w:r>
      <w:r w:rsidR="00500A5B">
        <w:rPr>
          <w:rFonts w:asciiTheme="minorHAnsi" w:hAnsiTheme="minorHAnsi" w:cstheme="minorBidi"/>
          <w:sz w:val="22"/>
          <w:szCs w:val="22"/>
        </w:rPr>
        <w:t>S</w:t>
      </w:r>
      <w:r w:rsidR="00661F2E">
        <w:rPr>
          <w:rFonts w:asciiTheme="minorHAnsi" w:hAnsiTheme="minorHAnsi" w:cstheme="minorBidi"/>
          <w:sz w:val="22"/>
          <w:szCs w:val="22"/>
        </w:rPr>
        <w:t>2</w:t>
      </w:r>
      <w:r w:rsidRPr="4B3B2A9F">
        <w:rPr>
          <w:rFonts w:asciiTheme="minorHAnsi" w:hAnsiTheme="minorHAnsi" w:cstheme="minorBidi"/>
          <w:sz w:val="22"/>
          <w:szCs w:val="22"/>
        </w:rPr>
        <w:t xml:space="preserve">), skin fungal composition (PERMANOVA: Bray-Curtis F = 2.48, p = 0.001; PERMDISP: F = 11.98, p &lt; 0.001; Tukey’s HSD p &lt; 0.003; Supplemental Fig. S9a).  </w:t>
      </w:r>
      <w:r w:rsidRPr="4B3B2A9F">
        <w:rPr>
          <w:rFonts w:ascii="Calibri" w:hAnsi="Calibri" w:cs="Calibri"/>
          <w:color w:val="000000" w:themeColor="text1"/>
          <w:sz w:val="22"/>
          <w:szCs w:val="22"/>
        </w:rPr>
        <w:t xml:space="preserve">Bd infection followed by clearance led to an average increase in relative abundance of anti-Bd bacteria from 4.4 % in untreated animals to 9.8 % in Bd infected animals prior to re-exposure </w:t>
      </w:r>
      <w:r w:rsidRPr="4B3B2A9F">
        <w:rPr>
          <w:rFonts w:asciiTheme="minorHAnsi" w:hAnsiTheme="minorHAnsi" w:cstheme="minorBidi"/>
          <w:sz w:val="22"/>
          <w:szCs w:val="22"/>
        </w:rPr>
        <w:t xml:space="preserve">(Dunn’s test: z = 2.51, p = 0.036; Fig. 6d, Supplemental </w:t>
      </w:r>
      <w:r w:rsidR="00B04A83">
        <w:rPr>
          <w:rFonts w:asciiTheme="minorHAnsi" w:hAnsiTheme="minorHAnsi" w:cstheme="minorBidi"/>
          <w:sz w:val="22"/>
          <w:szCs w:val="22"/>
        </w:rPr>
        <w:t>S3</w:t>
      </w:r>
      <w:r w:rsidRPr="4B3B2A9F">
        <w:rPr>
          <w:rFonts w:asciiTheme="minorHAnsi" w:hAnsiTheme="minorHAnsi" w:cstheme="minorBidi"/>
          <w:sz w:val="22"/>
          <w:szCs w:val="22"/>
        </w:rPr>
        <w:t xml:space="preserve">). Prior infection did not affect bacterial or fungal richness (Supplemental Fig. S9b). Fungal richness of Bd naïve animals that were infected for the first time (mock-Bd) was reduced over time by Bd infection (LMM post-hoc p = 0.0058; Supplemental Fig. S9b). </w:t>
      </w:r>
    </w:p>
    <w:p w14:paraId="34117C8B" w14:textId="77777777" w:rsidR="00AA6476" w:rsidRDefault="00AA6476" w:rsidP="00F912E2">
      <w:pPr>
        <w:spacing w:line="480" w:lineRule="auto"/>
        <w:rPr>
          <w:rFonts w:asciiTheme="minorHAnsi" w:hAnsiTheme="minorHAnsi" w:cstheme="minorHAnsi"/>
          <w:sz w:val="22"/>
          <w:szCs w:val="22"/>
        </w:rPr>
      </w:pPr>
    </w:p>
    <w:p w14:paraId="12CA5589" w14:textId="1FF3754B" w:rsidR="00432D3F" w:rsidRPr="00196762" w:rsidRDefault="30153FEB" w:rsidP="01A47FA8">
      <w:pPr>
        <w:spacing w:line="480" w:lineRule="auto"/>
        <w:rPr>
          <w:rFonts w:asciiTheme="minorHAnsi" w:hAnsiTheme="minorHAnsi" w:cstheme="minorBidi"/>
          <w:sz w:val="22"/>
          <w:szCs w:val="22"/>
        </w:rPr>
      </w:pPr>
      <w:r w:rsidRPr="01A47FA8">
        <w:rPr>
          <w:rFonts w:asciiTheme="minorHAnsi" w:hAnsiTheme="minorHAnsi" w:cstheme="minorBidi"/>
          <w:sz w:val="22"/>
          <w:szCs w:val="22"/>
        </w:rPr>
        <w:t>Following Bd treatment 2, the microbiome shifted. At early Bd infection at day 14 after Bd treatment 2, the pre-exposure effect was still present for the bacterial community (PERMANOVA: Bray-Curtis F = 1.644, p = 0.001</w:t>
      </w:r>
      <w:r w:rsidR="00500A5B" w:rsidRPr="01A47FA8">
        <w:rPr>
          <w:rFonts w:asciiTheme="minorHAnsi" w:hAnsiTheme="minorHAnsi" w:cstheme="minorBidi"/>
          <w:sz w:val="22"/>
          <w:szCs w:val="22"/>
        </w:rPr>
        <w:t>; Supplemental Table S</w:t>
      </w:r>
      <w:r w:rsidR="002B1051" w:rsidRPr="01A47FA8">
        <w:rPr>
          <w:rFonts w:asciiTheme="minorHAnsi" w:hAnsiTheme="minorHAnsi" w:cstheme="minorBidi"/>
          <w:sz w:val="22"/>
          <w:szCs w:val="22"/>
        </w:rPr>
        <w:t>3</w:t>
      </w:r>
      <w:r w:rsidRPr="01A47FA8">
        <w:rPr>
          <w:rFonts w:asciiTheme="minorHAnsi" w:hAnsiTheme="minorHAnsi" w:cstheme="minorBidi"/>
          <w:sz w:val="22"/>
          <w:szCs w:val="22"/>
        </w:rPr>
        <w:t>) in which mock-Bd and mock-mock animals differed from pr</w:t>
      </w:r>
      <w:r w:rsidR="00696210" w:rsidRPr="01A47FA8">
        <w:rPr>
          <w:rFonts w:asciiTheme="minorHAnsi" w:hAnsiTheme="minorHAnsi" w:cstheme="minorBidi"/>
          <w:sz w:val="22"/>
          <w:szCs w:val="22"/>
        </w:rPr>
        <w:t>ior infected</w:t>
      </w:r>
      <w:r w:rsidRPr="01A47FA8">
        <w:rPr>
          <w:rFonts w:asciiTheme="minorHAnsi" w:hAnsiTheme="minorHAnsi" w:cstheme="minorBidi"/>
          <w:sz w:val="22"/>
          <w:szCs w:val="22"/>
        </w:rPr>
        <w:t xml:space="preserve"> Bd-Bd animals (post-hoc p &lt; 0.05). Bd load showed limited effect on bacterial compositional change at </w:t>
      </w:r>
      <w:r w:rsidR="00331B1B" w:rsidRPr="01A47FA8">
        <w:rPr>
          <w:rFonts w:asciiTheme="minorHAnsi" w:hAnsiTheme="minorHAnsi" w:cstheme="minorBidi"/>
          <w:sz w:val="22"/>
          <w:szCs w:val="22"/>
        </w:rPr>
        <w:t>day 14</w:t>
      </w:r>
      <w:r w:rsidRPr="01A47FA8">
        <w:rPr>
          <w:rFonts w:asciiTheme="minorHAnsi" w:hAnsiTheme="minorHAnsi" w:cstheme="minorBidi"/>
          <w:sz w:val="22"/>
          <w:szCs w:val="22"/>
        </w:rPr>
        <w:t xml:space="preserve"> (Fig 6e). However, by day 29 Bd infection drove bacterial composition change (Fig 6c; Supplemental Table</w:t>
      </w:r>
      <w:r w:rsidR="008E1BA2" w:rsidRPr="01A47FA8">
        <w:rPr>
          <w:rFonts w:asciiTheme="minorHAnsi" w:hAnsiTheme="minorHAnsi" w:cstheme="minorBidi"/>
          <w:sz w:val="22"/>
          <w:szCs w:val="22"/>
        </w:rPr>
        <w:t xml:space="preserve"> S4</w:t>
      </w:r>
      <w:r w:rsidRPr="01A47FA8">
        <w:rPr>
          <w:rFonts w:asciiTheme="minorHAnsi" w:hAnsiTheme="minorHAnsi" w:cstheme="minorBidi"/>
          <w:sz w:val="22"/>
          <w:szCs w:val="22"/>
        </w:rPr>
        <w:t>); while most treatments differed from one another (PERMANOVA: Bray-Curtis F = 2.528, p = 0.001) the Bd</w:t>
      </w:r>
      <w:r w:rsidR="00331B1B" w:rsidRPr="01A47FA8">
        <w:rPr>
          <w:rFonts w:asciiTheme="minorHAnsi" w:hAnsiTheme="minorHAnsi" w:cstheme="minorBidi"/>
          <w:sz w:val="22"/>
          <w:szCs w:val="22"/>
        </w:rPr>
        <w:t xml:space="preserve"> infected</w:t>
      </w:r>
      <w:r w:rsidRPr="01A47FA8">
        <w:rPr>
          <w:rFonts w:asciiTheme="minorHAnsi" w:hAnsiTheme="minorHAnsi" w:cstheme="minorBidi"/>
          <w:sz w:val="22"/>
          <w:szCs w:val="22"/>
        </w:rPr>
        <w:t xml:space="preserve"> animals (mock-Bd and Bd-Bd) shared a similar microbiome (pairwise p = 0.36, Fig 6c). </w:t>
      </w:r>
      <w:r w:rsidR="00196762" w:rsidRPr="00DA67FC">
        <w:rPr>
          <w:rFonts w:asciiTheme="minorHAnsi" w:hAnsiTheme="minorHAnsi" w:cstheme="minorBidi"/>
          <w:color w:val="0C64C0"/>
          <w:sz w:val="22"/>
          <w:szCs w:val="22"/>
          <w:bdr w:val="none" w:sz="0" w:space="0" w:color="auto" w:frame="1"/>
        </w:rPr>
        <w:t xml:space="preserve"> </w:t>
      </w:r>
      <w:r w:rsidRPr="01A47FA8">
        <w:rPr>
          <w:rFonts w:asciiTheme="minorHAnsi" w:hAnsiTheme="minorHAnsi" w:cstheme="minorBidi"/>
          <w:sz w:val="22"/>
          <w:szCs w:val="22"/>
        </w:rPr>
        <w:t>In parallel with Bd causing changes to the skin bacterial communities, the relative abundance of anti-Bd bacteria on Bd-Bd animals also decreased by 62 % between days 14 and 29 (</w:t>
      </w:r>
      <w:r w:rsidR="008206D8" w:rsidRPr="01A47FA8">
        <w:rPr>
          <w:rFonts w:asciiTheme="minorHAnsi" w:hAnsiTheme="minorHAnsi" w:cstheme="minorBidi"/>
          <w:sz w:val="22"/>
          <w:szCs w:val="22"/>
        </w:rPr>
        <w:t xml:space="preserve">EMMs </w:t>
      </w:r>
      <w:r w:rsidRPr="01A47FA8">
        <w:rPr>
          <w:rFonts w:asciiTheme="minorHAnsi" w:hAnsiTheme="minorHAnsi" w:cstheme="minorBidi"/>
          <w:sz w:val="22"/>
          <w:szCs w:val="22"/>
        </w:rPr>
        <w:t>pairwise p = 0.0012; Supplemental Table S</w:t>
      </w:r>
      <w:r w:rsidR="006F3BD9" w:rsidRPr="01A47FA8">
        <w:rPr>
          <w:rFonts w:asciiTheme="minorHAnsi" w:hAnsiTheme="minorHAnsi" w:cstheme="minorBidi"/>
          <w:sz w:val="22"/>
          <w:szCs w:val="22"/>
        </w:rPr>
        <w:t>5</w:t>
      </w:r>
      <w:r w:rsidRPr="01A47FA8">
        <w:rPr>
          <w:rFonts w:asciiTheme="minorHAnsi" w:hAnsiTheme="minorHAnsi" w:cstheme="minorBidi"/>
          <w:sz w:val="22"/>
          <w:szCs w:val="22"/>
        </w:rPr>
        <w:t xml:space="preserve">) as infection loads increased (LMM: t = 3.953, p = 0.021; Fig </w:t>
      </w:r>
      <w:r w:rsidRPr="01A47FA8">
        <w:rPr>
          <w:rFonts w:asciiTheme="minorHAnsi" w:hAnsiTheme="minorHAnsi" w:cstheme="minorBidi"/>
          <w:sz w:val="22"/>
          <w:szCs w:val="22"/>
        </w:rPr>
        <w:lastRenderedPageBreak/>
        <w:t>6c-e; Supplemental Table S</w:t>
      </w:r>
      <w:r w:rsidR="006F3BD9" w:rsidRPr="01A47FA8">
        <w:rPr>
          <w:rFonts w:asciiTheme="minorHAnsi" w:hAnsiTheme="minorHAnsi" w:cstheme="minorBidi"/>
          <w:sz w:val="22"/>
          <w:szCs w:val="22"/>
        </w:rPr>
        <w:t>5</w:t>
      </w:r>
      <w:r w:rsidRPr="01A47FA8">
        <w:rPr>
          <w:rFonts w:asciiTheme="minorHAnsi" w:hAnsiTheme="minorHAnsi" w:cstheme="minorBidi"/>
          <w:sz w:val="22"/>
          <w:szCs w:val="22"/>
        </w:rPr>
        <w:t>). No differences among treatments were observed for bacterial or fungal ASVs richness (LMMs p &gt; 0.05) or for fungal composition (PERMANOVAs p &gt; 0.05). </w:t>
      </w:r>
    </w:p>
    <w:p w14:paraId="5556F976" w14:textId="42D513B5" w:rsidR="01A47FA8" w:rsidRDefault="01A47FA8" w:rsidP="01A47FA8">
      <w:pPr>
        <w:spacing w:line="480" w:lineRule="auto"/>
        <w:rPr>
          <w:rFonts w:asciiTheme="minorHAnsi" w:hAnsiTheme="minorHAnsi" w:cstheme="minorBidi"/>
          <w:sz w:val="22"/>
          <w:szCs w:val="22"/>
        </w:rPr>
      </w:pPr>
    </w:p>
    <w:p w14:paraId="3FB39A91" w14:textId="36C48FA3" w:rsidR="01A47FA8" w:rsidRPr="00DA67FC" w:rsidRDefault="0C594514" w:rsidP="01A47FA8">
      <w:pPr>
        <w:spacing w:line="480" w:lineRule="auto"/>
        <w:rPr>
          <w:rFonts w:ascii="Calibri" w:eastAsia="Calibri" w:hAnsi="Calibri" w:cs="Calibri"/>
          <w:sz w:val="22"/>
          <w:szCs w:val="22"/>
        </w:rPr>
      </w:pPr>
      <w:r w:rsidRPr="0C594514">
        <w:rPr>
          <w:rFonts w:ascii="Calibri" w:eastAsia="Calibri" w:hAnsi="Calibri" w:cs="Calibri"/>
          <w:sz w:val="22"/>
          <w:szCs w:val="22"/>
        </w:rPr>
        <w:t xml:space="preserve">We also examined the effect of time on skin bacterial composition across the entire 200 d experiment within mock-mock and untreated treatment groups. We found that bacterial composition did not differ between any time points within these two control groups (PERMANOVAs post-hoc p &lt; 0.05), </w:t>
      </w:r>
      <w:r w:rsidRPr="00DA67FC">
        <w:rPr>
          <w:rFonts w:ascii="Aptos" w:eastAsia="Aptos" w:hAnsi="Aptos" w:cs="Aptos"/>
          <w:color w:val="000000" w:themeColor="text1"/>
          <w:sz w:val="22"/>
          <w:szCs w:val="22"/>
        </w:rPr>
        <w:t xml:space="preserve">highlighting that the observed shifts caused by Bd (shown in Figure 6) are a result of the treatment effects rather than the passage of time. </w:t>
      </w:r>
      <w:r w:rsidRPr="0C594514">
        <w:rPr>
          <w:rFonts w:ascii="Calibri" w:eastAsia="Calibri" w:hAnsi="Calibri" w:cs="Calibri"/>
          <w:sz w:val="22"/>
          <w:szCs w:val="22"/>
        </w:rPr>
        <w:t xml:space="preserve"> </w:t>
      </w:r>
    </w:p>
    <w:p w14:paraId="4105B9E0" w14:textId="0349C0C7" w:rsidR="00184F55" w:rsidRDefault="00184F55">
      <w:pPr>
        <w:spacing w:after="160" w:line="259" w:lineRule="auto"/>
        <w:rPr>
          <w:rFonts w:asciiTheme="minorHAnsi" w:hAnsiTheme="minorHAnsi" w:cstheme="minorHAnsi"/>
          <w:sz w:val="22"/>
          <w:szCs w:val="22"/>
        </w:rPr>
      </w:pPr>
    </w:p>
    <w:p w14:paraId="1C703B3B" w14:textId="77777777" w:rsidR="00F912E2" w:rsidRDefault="00F912E2" w:rsidP="004008F3">
      <w:pPr>
        <w:spacing w:after="160" w:line="480" w:lineRule="auto"/>
        <w:rPr>
          <w:rFonts w:asciiTheme="minorHAnsi" w:hAnsiTheme="minorHAnsi" w:cstheme="minorHAnsi"/>
          <w:b/>
          <w:bCs/>
          <w:sz w:val="22"/>
          <w:szCs w:val="22"/>
        </w:rPr>
      </w:pPr>
      <w:r w:rsidRPr="00F912E2">
        <w:rPr>
          <w:rFonts w:asciiTheme="minorHAnsi" w:hAnsiTheme="minorHAnsi" w:cstheme="minorHAnsi"/>
          <w:b/>
          <w:bCs/>
          <w:sz w:val="22"/>
          <w:szCs w:val="22"/>
        </w:rPr>
        <w:t xml:space="preserve">Host gene expression and the microbiome </w:t>
      </w:r>
    </w:p>
    <w:p w14:paraId="0C6C4F6E" w14:textId="6895A6F5" w:rsidR="006D16EC" w:rsidRDefault="51FB5895" w:rsidP="51FB5895">
      <w:pPr>
        <w:spacing w:after="160" w:line="480" w:lineRule="auto"/>
        <w:rPr>
          <w:rFonts w:asciiTheme="minorHAnsi" w:hAnsiTheme="minorHAnsi" w:cstheme="minorBidi"/>
          <w:sz w:val="22"/>
          <w:szCs w:val="22"/>
        </w:rPr>
      </w:pPr>
      <w:r w:rsidRPr="51FB5895">
        <w:rPr>
          <w:rFonts w:asciiTheme="minorHAnsi" w:hAnsiTheme="minorHAnsi" w:cstheme="minorBidi"/>
          <w:sz w:val="22"/>
          <w:szCs w:val="22"/>
        </w:rPr>
        <w:t>We used sparse CCA to identify 409 host genes and 154 microbial ASVs (147 bacteria and 7 fungi) that contribute to the major axis of covariation between the transcriptome and microbiome (Supplemental</w:t>
      </w:r>
      <w:r w:rsidR="008D7070">
        <w:rPr>
          <w:rFonts w:asciiTheme="minorHAnsi" w:hAnsiTheme="minorHAnsi" w:cstheme="minorBidi"/>
          <w:sz w:val="22"/>
          <w:szCs w:val="22"/>
        </w:rPr>
        <w:t xml:space="preserve"> </w:t>
      </w:r>
      <w:r w:rsidRPr="51FB5895">
        <w:rPr>
          <w:rFonts w:asciiTheme="minorHAnsi" w:hAnsiTheme="minorHAnsi" w:cstheme="minorBidi"/>
          <w:sz w:val="22"/>
          <w:szCs w:val="22"/>
        </w:rPr>
        <w:t xml:space="preserve">Fig S11; </w:t>
      </w:r>
      <w:r w:rsidR="00500A5B" w:rsidRPr="00500A5B">
        <w:rPr>
          <w:rFonts w:asciiTheme="minorHAnsi" w:hAnsiTheme="minorHAnsi" w:cstheme="minorBidi"/>
          <w:sz w:val="22"/>
          <w:szCs w:val="22"/>
        </w:rPr>
        <w:t>Supplemental Table S</w:t>
      </w:r>
      <w:r w:rsidR="00497711">
        <w:rPr>
          <w:rFonts w:asciiTheme="minorHAnsi" w:hAnsiTheme="minorHAnsi" w:cstheme="minorBidi"/>
          <w:sz w:val="22"/>
          <w:szCs w:val="22"/>
        </w:rPr>
        <w:t>6</w:t>
      </w:r>
      <w:r w:rsidR="00500A5B" w:rsidRPr="00500A5B">
        <w:rPr>
          <w:rFonts w:asciiTheme="minorHAnsi" w:hAnsiTheme="minorHAnsi" w:cstheme="minorBidi"/>
          <w:sz w:val="22"/>
          <w:szCs w:val="22"/>
        </w:rPr>
        <w:t>)</w:t>
      </w:r>
      <w:r w:rsidR="003B7931">
        <w:rPr>
          <w:rFonts w:asciiTheme="minorHAnsi" w:hAnsiTheme="minorHAnsi" w:cstheme="minorBidi"/>
          <w:sz w:val="22"/>
          <w:szCs w:val="22"/>
        </w:rPr>
        <w:t>.</w:t>
      </w:r>
      <w:r w:rsidR="00500A5B">
        <w:rPr>
          <w:rFonts w:asciiTheme="minorHAnsi" w:hAnsiTheme="minorHAnsi" w:cstheme="minorBidi"/>
          <w:sz w:val="22"/>
          <w:szCs w:val="22"/>
        </w:rPr>
        <w:t xml:space="preserve"> </w:t>
      </w:r>
      <w:r w:rsidRPr="51FB5895">
        <w:rPr>
          <w:rFonts w:asciiTheme="minorHAnsi" w:hAnsiTheme="minorHAnsi" w:cstheme="minorBidi"/>
          <w:sz w:val="22"/>
          <w:szCs w:val="22"/>
        </w:rPr>
        <w:t xml:space="preserve">We next quantified pairwise correlations between CCA-selected genes and ASVs that did not co-vary with Bd load to characterize the structure of host–microbe associations that were robust associations. Across the network, gene–microbe correlations displayed a highly asymmetric network structure, in which a small number of bacterial taxa accounted for a disproportionately large share of all significant associations (Fig. 7; </w:t>
      </w:r>
      <w:r w:rsidR="00500A5B">
        <w:rPr>
          <w:rFonts w:asciiTheme="minorHAnsi" w:hAnsiTheme="minorHAnsi" w:cstheme="minorBidi"/>
          <w:sz w:val="22"/>
          <w:szCs w:val="22"/>
        </w:rPr>
        <w:t xml:space="preserve">Supplemental </w:t>
      </w:r>
      <w:r w:rsidRPr="00500A5B">
        <w:rPr>
          <w:rFonts w:asciiTheme="minorHAnsi" w:hAnsiTheme="minorHAnsi" w:cstheme="minorBidi"/>
          <w:sz w:val="22"/>
          <w:szCs w:val="22"/>
        </w:rPr>
        <w:t>Table S</w:t>
      </w:r>
      <w:r w:rsidR="00735FE4">
        <w:rPr>
          <w:rFonts w:asciiTheme="minorHAnsi" w:hAnsiTheme="minorHAnsi" w:cstheme="minorBidi"/>
          <w:sz w:val="22"/>
          <w:szCs w:val="22"/>
        </w:rPr>
        <w:t>7</w:t>
      </w:r>
      <w:r w:rsidR="00500A5B" w:rsidRPr="00500A5B">
        <w:rPr>
          <w:rFonts w:asciiTheme="minorHAnsi" w:hAnsiTheme="minorHAnsi" w:cstheme="minorBidi"/>
          <w:sz w:val="22"/>
          <w:szCs w:val="22"/>
        </w:rPr>
        <w:t>).</w:t>
      </w:r>
      <w:r w:rsidRPr="51FB5895">
        <w:rPr>
          <w:rFonts w:asciiTheme="minorHAnsi" w:hAnsiTheme="minorHAnsi" w:cstheme="minorBidi"/>
          <w:sz w:val="22"/>
          <w:szCs w:val="22"/>
        </w:rPr>
        <w:t xml:space="preserve"> An ASV annotated as </w:t>
      </w:r>
      <w:r w:rsidRPr="51FB5895">
        <w:rPr>
          <w:rFonts w:asciiTheme="minorHAnsi" w:hAnsiTheme="minorHAnsi" w:cstheme="minorBidi"/>
          <w:i/>
          <w:iCs/>
          <w:sz w:val="22"/>
          <w:szCs w:val="22"/>
        </w:rPr>
        <w:t>Streptomyces</w:t>
      </w:r>
      <w:r w:rsidRPr="51FB5895">
        <w:rPr>
          <w:rFonts w:asciiTheme="minorHAnsi" w:hAnsiTheme="minorHAnsi" w:cstheme="minorBidi"/>
          <w:sz w:val="22"/>
          <w:szCs w:val="22"/>
        </w:rPr>
        <w:t xml:space="preserve"> (ASV123)</w:t>
      </w:r>
      <w:r>
        <w:t xml:space="preserve"> </w:t>
      </w:r>
      <w:r w:rsidRPr="51FB5895">
        <w:rPr>
          <w:rFonts w:asciiTheme="minorHAnsi" w:hAnsiTheme="minorHAnsi" w:cstheme="minorBidi"/>
          <w:sz w:val="22"/>
          <w:szCs w:val="22"/>
        </w:rPr>
        <w:t xml:space="preserve">was the dominant hub taxon, exhibiting the greatest number of gene–microbe correlations (197 gene-microbe correlations with P &lt; 0.05 and r &gt; 0.1 at both timepoints), followed by an ASV annotated as </w:t>
      </w:r>
      <w:proofErr w:type="spellStart"/>
      <w:r w:rsidRPr="51FB5895">
        <w:rPr>
          <w:rFonts w:asciiTheme="minorHAnsi" w:hAnsiTheme="minorHAnsi" w:cstheme="minorBidi"/>
          <w:i/>
          <w:iCs/>
          <w:sz w:val="22"/>
          <w:szCs w:val="22"/>
        </w:rPr>
        <w:t>Pedobacter</w:t>
      </w:r>
      <w:proofErr w:type="spellEnd"/>
      <w:r w:rsidRPr="51FB5895">
        <w:rPr>
          <w:rFonts w:asciiTheme="minorHAnsi" w:hAnsiTheme="minorHAnsi" w:cstheme="minorBidi"/>
          <w:sz w:val="22"/>
          <w:szCs w:val="22"/>
        </w:rPr>
        <w:t xml:space="preserve"> (99 gene-microbe correlations). Several members of the genus </w:t>
      </w:r>
      <w:proofErr w:type="spellStart"/>
      <w:r w:rsidRPr="51FB5895">
        <w:rPr>
          <w:rFonts w:asciiTheme="minorHAnsi" w:hAnsiTheme="minorHAnsi" w:cstheme="minorBidi"/>
          <w:i/>
          <w:iCs/>
          <w:sz w:val="22"/>
          <w:szCs w:val="22"/>
        </w:rPr>
        <w:t>Sphingobacterium</w:t>
      </w:r>
      <w:proofErr w:type="spellEnd"/>
      <w:r w:rsidRPr="51FB5895">
        <w:rPr>
          <w:rFonts w:asciiTheme="minorHAnsi" w:hAnsiTheme="minorHAnsi" w:cstheme="minorBidi"/>
          <w:sz w:val="22"/>
          <w:szCs w:val="22"/>
        </w:rPr>
        <w:t xml:space="preserve">, which has previously been linked to poor Bd infection outcomes </w:t>
      </w:r>
      <w:r w:rsidR="4F89E6BA" w:rsidRPr="51FB5895">
        <w:rPr>
          <w:rFonts w:asciiTheme="minorHAnsi" w:hAnsiTheme="minorHAnsi" w:cstheme="minorBidi"/>
          <w:sz w:val="22"/>
          <w:szCs w:val="22"/>
        </w:rPr>
        <w:fldChar w:fldCharType="begin"/>
      </w:r>
      <w:r w:rsidR="00E865C5">
        <w:rPr>
          <w:rFonts w:asciiTheme="minorHAnsi" w:hAnsiTheme="minorHAnsi" w:cstheme="minorBidi"/>
          <w:sz w:val="22"/>
          <w:szCs w:val="22"/>
        </w:rPr>
        <w:instrText xml:space="preserve"> ADDIN ZOTERO_ITEM CSL_CITATION {"citationID":"eByCjbRJ","properties":{"formattedCitation":"(64)","plainCitation":"(64)","noteIndex":0},"citationItems":[{"id":19543,"uris":["http://zotero.org/groups/6008588/items/PBDEA33T"],"itemData":{"id":19543,"type":"article-journal","abstract":"The fungal pathogenBatrachochytrium dendrobatidis (Bd) threatens amphibian biodiversity and ecosystem stability worldwide. Amphibian skin microbial community structure has been linked to the clinical outcome of Bd infections, yet its overall functional importance is poorly understood.","container-title":"Microbiome","DOI":"10.1186/s40168-021-01215-6","ISSN":"2049-2618","issue":"1","journalAbbreviation":"Microbiome","page":"44","source":"BioMed Central","title":"Microbiome function predicts amphibian chytridiomycosis disease dynamics","volume":"10","author":[{"family":"Bates","given":"Kieran A."},{"family":"Sommer","given":"Ulf"},{"family":"Hopkins","given":"Kevin P."},{"family":"Shelton","given":"Jennifer M. G."},{"family":"Wierzbicki","given":"Claudia"},{"family":"Sergeant","given":"Christopher"},{"family":"Tapley","given":"Benjamin"},{"family":"Michaels","given":"Christopher J."},{"family":"Schmeller","given":"Dirk S."},{"family":"Loyau","given":"Adeline"},{"family":"Bosch","given":"Jaime"},{"family":"Viant","given":"Mark R."},{"family":"Harrison","given":"Xavier A."},{"family":"Garner","given":"Trenton W. J."},{"family":"Fisher","given":"Matthew C."}],"issued":{"date-parts":[["2022",3,10]]}}}],"schema":"https://github.com/citation-style-language/schema/raw/master/csl-citation.json"} </w:instrText>
      </w:r>
      <w:r w:rsidR="4F89E6BA" w:rsidRPr="51FB5895">
        <w:rPr>
          <w:rFonts w:asciiTheme="minorHAnsi" w:hAnsiTheme="minorHAnsi" w:cstheme="minorBidi"/>
          <w:sz w:val="22"/>
          <w:szCs w:val="22"/>
        </w:rPr>
        <w:fldChar w:fldCharType="separate"/>
      </w:r>
      <w:r w:rsidR="00E865C5">
        <w:rPr>
          <w:rFonts w:asciiTheme="minorHAnsi" w:hAnsiTheme="minorHAnsi" w:cstheme="minorBidi"/>
          <w:noProof/>
          <w:sz w:val="22"/>
          <w:szCs w:val="22"/>
        </w:rPr>
        <w:t>(64)</w:t>
      </w:r>
      <w:r w:rsidR="4F89E6BA" w:rsidRPr="51FB5895">
        <w:rPr>
          <w:rFonts w:asciiTheme="minorHAnsi" w:hAnsiTheme="minorHAnsi" w:cstheme="minorBidi"/>
          <w:sz w:val="22"/>
          <w:szCs w:val="22"/>
        </w:rPr>
        <w:fldChar w:fldCharType="end"/>
      </w:r>
      <w:r w:rsidRPr="51FB5895">
        <w:rPr>
          <w:rFonts w:asciiTheme="minorHAnsi" w:hAnsiTheme="minorHAnsi" w:cstheme="minorBidi"/>
          <w:sz w:val="22"/>
          <w:szCs w:val="22"/>
        </w:rPr>
        <w:t xml:space="preserve"> also emerged as highly connected taxa, with three ASVs (ASV104, ASV169, ASV242) contributing 75, 47, and 31 edges respectively. The majority of other bacterial ASVs exhibited very few associations (typically &lt; 5 edges), suggesting that host–microbiome coupling is dominated by a limited subset of microbial </w:t>
      </w:r>
      <w:r w:rsidRPr="51FB5895">
        <w:rPr>
          <w:rFonts w:asciiTheme="minorHAnsi" w:hAnsiTheme="minorHAnsi" w:cstheme="minorBidi"/>
          <w:sz w:val="22"/>
          <w:szCs w:val="22"/>
        </w:rPr>
        <w:lastRenderedPageBreak/>
        <w:t>lineages. In contrast, the connectivity of host gene features was more uniform, with each gene participating in 1 to 6 significant gene-microbe correlations, and 74</w:t>
      </w:r>
      <w:r w:rsidR="00BC20B7">
        <w:rPr>
          <w:rFonts w:asciiTheme="minorHAnsi" w:hAnsiTheme="minorHAnsi" w:cstheme="minorBidi"/>
          <w:sz w:val="22"/>
          <w:szCs w:val="22"/>
        </w:rPr>
        <w:t xml:space="preserve"> </w:t>
      </w:r>
      <w:r w:rsidRPr="51FB5895">
        <w:rPr>
          <w:rFonts w:asciiTheme="minorHAnsi" w:hAnsiTheme="minorHAnsi" w:cstheme="minorBidi"/>
          <w:sz w:val="22"/>
          <w:szCs w:val="22"/>
        </w:rPr>
        <w:t>% of genes having only 1 or 2 connections.</w:t>
      </w:r>
    </w:p>
    <w:p w14:paraId="6E20A9B4" w14:textId="01D54F6D" w:rsidR="00E21D53" w:rsidRDefault="7D95EF95" w:rsidP="067D26A0">
      <w:pPr>
        <w:spacing w:after="160" w:line="480" w:lineRule="auto"/>
        <w:rPr>
          <w:rFonts w:asciiTheme="minorHAnsi" w:hAnsiTheme="minorHAnsi" w:cstheme="minorBidi"/>
          <w:sz w:val="22"/>
          <w:szCs w:val="22"/>
        </w:rPr>
      </w:pPr>
      <w:r w:rsidRPr="7D95EF95">
        <w:rPr>
          <w:rFonts w:asciiTheme="minorHAnsi" w:hAnsiTheme="minorHAnsi" w:cstheme="minorBidi"/>
          <w:sz w:val="22"/>
          <w:szCs w:val="22"/>
        </w:rPr>
        <w:t xml:space="preserve">We next compared gene–microbe correlation coefficients across treatment groups with genes from the </w:t>
      </w:r>
      <w:r w:rsidRPr="7D95EF95">
        <w:rPr>
          <w:rFonts w:asciiTheme="minorHAnsi" w:hAnsiTheme="minorHAnsi" w:cstheme="minorBidi"/>
          <w:i/>
          <w:iCs/>
          <w:sz w:val="22"/>
          <w:szCs w:val="22"/>
        </w:rPr>
        <w:t>prior and current infection specific</w:t>
      </w:r>
      <w:r w:rsidRPr="7D95EF95">
        <w:rPr>
          <w:rFonts w:asciiTheme="minorHAnsi" w:hAnsiTheme="minorHAnsi" w:cstheme="minorBidi"/>
          <w:sz w:val="22"/>
          <w:szCs w:val="22"/>
        </w:rPr>
        <w:t xml:space="preserve"> sets. Despite pronounced differences in gene expression and microbial abundance according to treatment group and infection load, the underlying gene–microbe correlation structure, identified independent of infection load, was remarkably consistent across groups.</w:t>
      </w:r>
      <w:r>
        <w:t xml:space="preserve"> </w:t>
      </w:r>
      <w:r w:rsidRPr="7D95EF95">
        <w:rPr>
          <w:rFonts w:asciiTheme="minorHAnsi" w:hAnsiTheme="minorHAnsi" w:cstheme="minorBidi"/>
          <w:sz w:val="22"/>
          <w:szCs w:val="22"/>
        </w:rPr>
        <w:t xml:space="preserve">Gene–microbe correlation values and sign were significantly associated between all pairs of treatment groups with between-group Pearson correlation ranging from 0.12 to 0.76 (mean = 0.46) and sign concordance ranging from 0.66 to 0.98 (mean = 0.83; Supplemental </w:t>
      </w:r>
      <w:r w:rsidR="00266146">
        <w:rPr>
          <w:rFonts w:asciiTheme="minorHAnsi" w:hAnsiTheme="minorHAnsi" w:cstheme="minorBidi"/>
          <w:sz w:val="22"/>
          <w:szCs w:val="22"/>
        </w:rPr>
        <w:t>F</w:t>
      </w:r>
      <w:r w:rsidRPr="7D95EF95">
        <w:rPr>
          <w:rFonts w:asciiTheme="minorHAnsi" w:hAnsiTheme="minorHAnsi" w:cstheme="minorBidi"/>
          <w:sz w:val="22"/>
          <w:szCs w:val="22"/>
        </w:rPr>
        <w:t>ig</w:t>
      </w:r>
      <w:r w:rsidR="00266146">
        <w:rPr>
          <w:rFonts w:asciiTheme="minorHAnsi" w:hAnsiTheme="minorHAnsi" w:cstheme="minorBidi"/>
          <w:sz w:val="22"/>
          <w:szCs w:val="22"/>
        </w:rPr>
        <w:t>.</w:t>
      </w:r>
      <w:r w:rsidRPr="7D95EF95">
        <w:rPr>
          <w:rFonts w:asciiTheme="minorHAnsi" w:hAnsiTheme="minorHAnsi" w:cstheme="minorBidi"/>
          <w:sz w:val="22"/>
          <w:szCs w:val="22"/>
        </w:rPr>
        <w:t xml:space="preserve"> S12; </w:t>
      </w:r>
      <w:r w:rsidR="00500A5B">
        <w:rPr>
          <w:rFonts w:asciiTheme="minorHAnsi" w:hAnsiTheme="minorHAnsi" w:cstheme="minorBidi"/>
          <w:sz w:val="22"/>
          <w:szCs w:val="22"/>
        </w:rPr>
        <w:t xml:space="preserve">Supplemental </w:t>
      </w:r>
      <w:r w:rsidRPr="00500A5B">
        <w:rPr>
          <w:rFonts w:asciiTheme="minorHAnsi" w:hAnsiTheme="minorHAnsi" w:cstheme="minorBidi"/>
          <w:sz w:val="22"/>
          <w:szCs w:val="22"/>
        </w:rPr>
        <w:t>Table S</w:t>
      </w:r>
      <w:r w:rsidR="00266146">
        <w:rPr>
          <w:rFonts w:asciiTheme="minorHAnsi" w:hAnsiTheme="minorHAnsi" w:cstheme="minorBidi"/>
          <w:sz w:val="22"/>
          <w:szCs w:val="22"/>
        </w:rPr>
        <w:t>8</w:t>
      </w:r>
      <w:r w:rsidR="00500A5B" w:rsidRPr="00500A5B">
        <w:rPr>
          <w:rFonts w:asciiTheme="minorHAnsi" w:hAnsiTheme="minorHAnsi" w:cstheme="minorBidi"/>
          <w:sz w:val="22"/>
          <w:szCs w:val="22"/>
        </w:rPr>
        <w:t>).</w:t>
      </w:r>
      <w:r w:rsidR="00500A5B">
        <w:rPr>
          <w:rFonts w:asciiTheme="minorHAnsi" w:hAnsiTheme="minorHAnsi" w:cstheme="minorBidi"/>
          <w:sz w:val="22"/>
          <w:szCs w:val="22"/>
        </w:rPr>
        <w:t xml:space="preserve"> </w:t>
      </w:r>
      <w:r w:rsidRPr="7D95EF95">
        <w:rPr>
          <w:rFonts w:asciiTheme="minorHAnsi" w:hAnsiTheme="minorHAnsi" w:cstheme="minorBidi"/>
          <w:sz w:val="22"/>
          <w:szCs w:val="22"/>
        </w:rPr>
        <w:t>No individual gene-microbe correlations were significantly different between groups according to our Fishers Z-tests.</w:t>
      </w:r>
    </w:p>
    <w:p w14:paraId="323572A8" w14:textId="77777777" w:rsidR="006D16EC" w:rsidRDefault="006D16EC" w:rsidP="4F89E6BA">
      <w:pPr>
        <w:spacing w:after="160" w:line="480" w:lineRule="auto"/>
        <w:rPr>
          <w:rFonts w:asciiTheme="minorHAnsi" w:hAnsiTheme="minorHAnsi" w:cstheme="minorBidi"/>
          <w:sz w:val="22"/>
          <w:szCs w:val="22"/>
        </w:rPr>
      </w:pPr>
    </w:p>
    <w:p w14:paraId="2BDD83B5" w14:textId="29C62C42" w:rsidR="00B57C5D" w:rsidRPr="00D16989" w:rsidRDefault="00F341A8" w:rsidP="6F8377C0">
      <w:pPr>
        <w:spacing w:line="480" w:lineRule="auto"/>
      </w:pPr>
      <w:r>
        <w:rPr>
          <w:noProof/>
        </w:rPr>
        <w:lastRenderedPageBreak/>
        <w:drawing>
          <wp:inline distT="0" distB="0" distL="0" distR="0" wp14:anchorId="19761BBA" wp14:editId="57C76003">
            <wp:extent cx="5943600" cy="5086350"/>
            <wp:effectExtent l="0" t="0" r="0" b="0"/>
            <wp:docPr id="79911813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118131" name=""/>
                    <pic:cNvPicPr/>
                  </pic:nvPicPr>
                  <pic:blipFill>
                    <a:blip r:embed="rId15">
                      <a:extLst>
                        <a:ext uri="{28A0092B-C50C-407E-A947-70E740481C1C}">
                          <a14:useLocalDpi xmlns:a14="http://schemas.microsoft.com/office/drawing/2010/main" val="0"/>
                        </a:ext>
                      </a:extLst>
                    </a:blip>
                    <a:stretch>
                      <a:fillRect/>
                    </a:stretch>
                  </pic:blipFill>
                  <pic:spPr>
                    <a:xfrm>
                      <a:off x="0" y="0"/>
                      <a:ext cx="5943600" cy="5086350"/>
                    </a:xfrm>
                    <a:prstGeom prst="rect">
                      <a:avLst/>
                    </a:prstGeom>
                  </pic:spPr>
                </pic:pic>
              </a:graphicData>
            </a:graphic>
          </wp:inline>
        </w:drawing>
      </w:r>
    </w:p>
    <w:p w14:paraId="0B85B17B" w14:textId="7A3DC0CE" w:rsidR="007C3938" w:rsidRDefault="6CA883F0" w:rsidP="6CA883F0">
      <w:pPr>
        <w:spacing w:line="480" w:lineRule="auto"/>
        <w:rPr>
          <w:rFonts w:asciiTheme="minorHAnsi" w:hAnsiTheme="minorHAnsi" w:cstheme="minorBidi"/>
          <w:sz w:val="22"/>
          <w:szCs w:val="22"/>
        </w:rPr>
      </w:pPr>
      <w:r w:rsidRPr="6CA883F0">
        <w:rPr>
          <w:rFonts w:asciiTheme="minorHAnsi" w:hAnsiTheme="minorHAnsi" w:cstheme="minorBidi"/>
          <w:b/>
          <w:bCs/>
          <w:sz w:val="22"/>
          <w:szCs w:val="22"/>
        </w:rPr>
        <w:t xml:space="preserve">Figure 6. </w:t>
      </w:r>
      <w:r w:rsidRPr="6CA883F0">
        <w:rPr>
          <w:rFonts w:asciiTheme="minorHAnsi" w:hAnsiTheme="minorHAnsi" w:cstheme="minorBidi"/>
          <w:sz w:val="22"/>
          <w:szCs w:val="22"/>
        </w:rPr>
        <w:t xml:space="preserve"> </w:t>
      </w:r>
      <w:r w:rsidR="00FC0095">
        <w:rPr>
          <w:rFonts w:asciiTheme="minorHAnsi" w:hAnsiTheme="minorHAnsi" w:cstheme="minorBidi"/>
          <w:sz w:val="22"/>
          <w:szCs w:val="22"/>
        </w:rPr>
        <w:t xml:space="preserve">Effects of </w:t>
      </w:r>
      <w:r w:rsidR="00C2154B">
        <w:rPr>
          <w:rFonts w:asciiTheme="minorHAnsi" w:hAnsiTheme="minorHAnsi" w:cstheme="minorBidi"/>
          <w:sz w:val="22"/>
          <w:szCs w:val="22"/>
        </w:rPr>
        <w:t xml:space="preserve">experimental treatments on skin bacterial communities. </w:t>
      </w:r>
      <w:r w:rsidRPr="6CA883F0">
        <w:rPr>
          <w:rFonts w:asciiTheme="minorHAnsi" w:hAnsiTheme="minorHAnsi" w:cstheme="minorBidi"/>
          <w:sz w:val="22"/>
          <w:szCs w:val="22"/>
        </w:rPr>
        <w:t xml:space="preserve">Multidimensional scaling plots </w:t>
      </w:r>
      <w:r w:rsidR="006C7313">
        <w:rPr>
          <w:rFonts w:asciiTheme="minorHAnsi" w:hAnsiTheme="minorHAnsi" w:cstheme="minorBidi"/>
          <w:sz w:val="22"/>
          <w:szCs w:val="22"/>
        </w:rPr>
        <w:t xml:space="preserve">(A-C) </w:t>
      </w:r>
      <w:r w:rsidRPr="6CA883F0">
        <w:rPr>
          <w:rFonts w:asciiTheme="minorHAnsi" w:hAnsiTheme="minorHAnsi" w:cstheme="minorBidi"/>
          <w:sz w:val="22"/>
          <w:szCs w:val="22"/>
        </w:rPr>
        <w:t>showing the effects of treatments on the bacterial community</w:t>
      </w:r>
      <w:r w:rsidR="003730E2">
        <w:rPr>
          <w:rFonts w:asciiTheme="minorHAnsi" w:hAnsiTheme="minorHAnsi" w:cstheme="minorBidi"/>
          <w:sz w:val="22"/>
          <w:szCs w:val="22"/>
        </w:rPr>
        <w:t xml:space="preserve">; </w:t>
      </w:r>
      <w:r w:rsidR="008A36AF">
        <w:rPr>
          <w:rFonts w:asciiTheme="minorHAnsi" w:hAnsiTheme="minorHAnsi" w:cstheme="minorBidi"/>
          <w:sz w:val="22"/>
          <w:szCs w:val="22"/>
        </w:rPr>
        <w:t>95</w:t>
      </w:r>
      <w:r w:rsidR="00BC20B7">
        <w:rPr>
          <w:rFonts w:asciiTheme="minorHAnsi" w:hAnsiTheme="minorHAnsi" w:cstheme="minorBidi"/>
          <w:sz w:val="22"/>
          <w:szCs w:val="22"/>
        </w:rPr>
        <w:t xml:space="preserve"> </w:t>
      </w:r>
      <w:r w:rsidR="008A36AF">
        <w:rPr>
          <w:rFonts w:asciiTheme="minorHAnsi" w:hAnsiTheme="minorHAnsi" w:cstheme="minorBidi"/>
          <w:sz w:val="22"/>
          <w:szCs w:val="22"/>
        </w:rPr>
        <w:t xml:space="preserve">% confidence </w:t>
      </w:r>
      <w:r w:rsidR="003730E2">
        <w:rPr>
          <w:rFonts w:asciiTheme="minorHAnsi" w:hAnsiTheme="minorHAnsi" w:cstheme="minorBidi"/>
          <w:sz w:val="22"/>
          <w:szCs w:val="22"/>
        </w:rPr>
        <w:t>ellipse</w:t>
      </w:r>
      <w:r w:rsidR="00577692">
        <w:rPr>
          <w:rFonts w:asciiTheme="minorHAnsi" w:hAnsiTheme="minorHAnsi" w:cstheme="minorBidi"/>
          <w:sz w:val="22"/>
          <w:szCs w:val="22"/>
        </w:rPr>
        <w:t>s shown with</w:t>
      </w:r>
      <w:r w:rsidR="00FA13A2">
        <w:rPr>
          <w:rFonts w:asciiTheme="minorHAnsi" w:hAnsiTheme="minorHAnsi" w:cstheme="minorBidi"/>
          <w:sz w:val="22"/>
          <w:szCs w:val="22"/>
        </w:rPr>
        <w:t xml:space="preserve"> line type</w:t>
      </w:r>
      <w:r w:rsidR="00C56F79">
        <w:rPr>
          <w:rFonts w:asciiTheme="minorHAnsi" w:hAnsiTheme="minorHAnsi" w:cstheme="minorBidi"/>
          <w:sz w:val="22"/>
          <w:szCs w:val="22"/>
        </w:rPr>
        <w:t xml:space="preserve"> represent</w:t>
      </w:r>
      <w:r w:rsidR="00577692">
        <w:rPr>
          <w:rFonts w:asciiTheme="minorHAnsi" w:hAnsiTheme="minorHAnsi" w:cstheme="minorBidi"/>
          <w:sz w:val="22"/>
          <w:szCs w:val="22"/>
        </w:rPr>
        <w:t>ing</w:t>
      </w:r>
      <w:r w:rsidR="00C56F79">
        <w:rPr>
          <w:rFonts w:asciiTheme="minorHAnsi" w:hAnsiTheme="minorHAnsi" w:cstheme="minorBidi"/>
          <w:sz w:val="22"/>
          <w:szCs w:val="22"/>
        </w:rPr>
        <w:t xml:space="preserve"> treatment in Bd treatment 2</w:t>
      </w:r>
      <w:r w:rsidR="00FA13A2">
        <w:rPr>
          <w:rFonts w:asciiTheme="minorHAnsi" w:hAnsiTheme="minorHAnsi" w:cstheme="minorBidi"/>
          <w:sz w:val="22"/>
          <w:szCs w:val="22"/>
        </w:rPr>
        <w:t>: solid = mock, dashed = Bd</w:t>
      </w:r>
      <w:r w:rsidRPr="6CA883F0">
        <w:rPr>
          <w:rFonts w:asciiTheme="minorHAnsi" w:hAnsiTheme="minorHAnsi" w:cstheme="minorBidi"/>
          <w:sz w:val="22"/>
          <w:szCs w:val="22"/>
        </w:rPr>
        <w:t xml:space="preserve">. Treatment effects shown on bacterial community composition A) </w:t>
      </w:r>
      <w:r w:rsidR="00B06073">
        <w:rPr>
          <w:rFonts w:asciiTheme="minorHAnsi" w:hAnsiTheme="minorHAnsi" w:cstheme="minorBidi"/>
          <w:sz w:val="22"/>
          <w:szCs w:val="22"/>
        </w:rPr>
        <w:t>1</w:t>
      </w:r>
      <w:r w:rsidRPr="6CA883F0">
        <w:rPr>
          <w:rFonts w:asciiTheme="minorHAnsi" w:hAnsiTheme="minorHAnsi" w:cstheme="minorBidi"/>
          <w:sz w:val="22"/>
          <w:szCs w:val="22"/>
        </w:rPr>
        <w:t xml:space="preserve"> </w:t>
      </w:r>
      <w:r w:rsidR="00B06073">
        <w:rPr>
          <w:rFonts w:asciiTheme="minorHAnsi" w:hAnsiTheme="minorHAnsi" w:cstheme="minorBidi"/>
          <w:sz w:val="22"/>
          <w:szCs w:val="22"/>
        </w:rPr>
        <w:t>d</w:t>
      </w:r>
      <w:r w:rsidRPr="6CA883F0">
        <w:rPr>
          <w:rFonts w:asciiTheme="minorHAnsi" w:hAnsiTheme="minorHAnsi" w:cstheme="minorBidi"/>
          <w:sz w:val="22"/>
          <w:szCs w:val="22"/>
        </w:rPr>
        <w:t xml:space="preserve"> before Bd treatment 2</w:t>
      </w:r>
      <w:r w:rsidR="001978FA">
        <w:rPr>
          <w:rFonts w:asciiTheme="minorHAnsi" w:hAnsiTheme="minorHAnsi" w:cstheme="minorBidi"/>
          <w:sz w:val="22"/>
          <w:szCs w:val="22"/>
        </w:rPr>
        <w:t xml:space="preserve"> (TP0)</w:t>
      </w:r>
      <w:r w:rsidRPr="6CA883F0">
        <w:rPr>
          <w:rFonts w:asciiTheme="minorHAnsi" w:hAnsiTheme="minorHAnsi" w:cstheme="minorBidi"/>
          <w:sz w:val="22"/>
          <w:szCs w:val="22"/>
        </w:rPr>
        <w:t xml:space="preserve">, B) early infection 14 d after Bd treatment 2 (TP1), and C) late infection 29 d after Bd treatment 2 (TP2). </w:t>
      </w:r>
      <w:r w:rsidR="00A72E49">
        <w:rPr>
          <w:rFonts w:asciiTheme="minorHAnsi" w:hAnsiTheme="minorHAnsi" w:cstheme="minorBidi"/>
          <w:sz w:val="22"/>
          <w:szCs w:val="22"/>
        </w:rPr>
        <w:t xml:space="preserve">Boxplots </w:t>
      </w:r>
      <w:r w:rsidR="001978FA">
        <w:rPr>
          <w:rFonts w:asciiTheme="minorHAnsi" w:hAnsiTheme="minorHAnsi" w:cstheme="minorBidi"/>
          <w:sz w:val="22"/>
          <w:szCs w:val="22"/>
        </w:rPr>
        <w:t xml:space="preserve">(D) </w:t>
      </w:r>
      <w:r w:rsidR="00395FFF">
        <w:rPr>
          <w:rFonts w:asciiTheme="minorHAnsi" w:hAnsiTheme="minorHAnsi" w:cstheme="minorBidi"/>
          <w:sz w:val="22"/>
          <w:szCs w:val="22"/>
        </w:rPr>
        <w:t>showing median and 1</w:t>
      </w:r>
      <w:r w:rsidR="00395FFF" w:rsidRPr="00395FFF">
        <w:rPr>
          <w:rFonts w:asciiTheme="minorHAnsi" w:hAnsiTheme="minorHAnsi" w:cstheme="minorBidi"/>
          <w:sz w:val="22"/>
          <w:szCs w:val="22"/>
          <w:vertAlign w:val="superscript"/>
        </w:rPr>
        <w:t>st</w:t>
      </w:r>
      <w:r w:rsidR="00395FFF">
        <w:rPr>
          <w:rFonts w:asciiTheme="minorHAnsi" w:hAnsiTheme="minorHAnsi" w:cstheme="minorBidi"/>
          <w:sz w:val="22"/>
          <w:szCs w:val="22"/>
        </w:rPr>
        <w:t xml:space="preserve"> and 3</w:t>
      </w:r>
      <w:r w:rsidR="00395FFF" w:rsidRPr="00395FFF">
        <w:rPr>
          <w:rFonts w:asciiTheme="minorHAnsi" w:hAnsiTheme="minorHAnsi" w:cstheme="minorBidi"/>
          <w:sz w:val="22"/>
          <w:szCs w:val="22"/>
          <w:vertAlign w:val="superscript"/>
        </w:rPr>
        <w:t>rd</w:t>
      </w:r>
      <w:r w:rsidR="00395FFF">
        <w:rPr>
          <w:rFonts w:asciiTheme="minorHAnsi" w:hAnsiTheme="minorHAnsi" w:cstheme="minorBidi"/>
          <w:sz w:val="22"/>
          <w:szCs w:val="22"/>
        </w:rPr>
        <w:t xml:space="preserve"> quartiles </w:t>
      </w:r>
      <w:r w:rsidR="001978FA">
        <w:rPr>
          <w:rFonts w:asciiTheme="minorHAnsi" w:hAnsiTheme="minorHAnsi" w:cstheme="minorBidi"/>
          <w:sz w:val="22"/>
          <w:szCs w:val="22"/>
        </w:rPr>
        <w:t>of</w:t>
      </w:r>
      <w:r w:rsidRPr="6CA883F0">
        <w:rPr>
          <w:rFonts w:asciiTheme="minorHAnsi" w:hAnsiTheme="minorHAnsi" w:cstheme="minorBidi"/>
          <w:sz w:val="22"/>
          <w:szCs w:val="22"/>
        </w:rPr>
        <w:t xml:space="preserve"> </w:t>
      </w:r>
      <w:r w:rsidR="001978FA">
        <w:rPr>
          <w:rFonts w:asciiTheme="minorHAnsi" w:hAnsiTheme="minorHAnsi" w:cstheme="minorBidi"/>
          <w:sz w:val="22"/>
          <w:szCs w:val="22"/>
        </w:rPr>
        <w:t>t</w:t>
      </w:r>
      <w:r w:rsidRPr="6CA883F0">
        <w:rPr>
          <w:rFonts w:asciiTheme="minorHAnsi" w:hAnsiTheme="minorHAnsi" w:cstheme="minorBidi"/>
          <w:sz w:val="22"/>
          <w:szCs w:val="22"/>
        </w:rPr>
        <w:t xml:space="preserve">he relative abundance of known anti-Bd </w:t>
      </w:r>
      <w:r w:rsidR="00577692">
        <w:rPr>
          <w:rFonts w:asciiTheme="minorHAnsi" w:hAnsiTheme="minorHAnsi" w:cstheme="minorBidi"/>
          <w:sz w:val="22"/>
          <w:szCs w:val="22"/>
        </w:rPr>
        <w:t>bacteria</w:t>
      </w:r>
      <w:r w:rsidRPr="6CA883F0">
        <w:rPr>
          <w:rFonts w:asciiTheme="minorHAnsi" w:hAnsiTheme="minorHAnsi" w:cstheme="minorBidi"/>
          <w:sz w:val="22"/>
          <w:szCs w:val="22"/>
        </w:rPr>
        <w:t xml:space="preserve"> at the three timepoints</w:t>
      </w:r>
      <w:r w:rsidR="000D2368">
        <w:rPr>
          <w:rFonts w:asciiTheme="minorHAnsi" w:hAnsiTheme="minorHAnsi" w:cstheme="minorBidi"/>
          <w:sz w:val="22"/>
          <w:szCs w:val="22"/>
        </w:rPr>
        <w:t xml:space="preserve">; </w:t>
      </w:r>
      <w:r w:rsidRPr="6CA883F0">
        <w:rPr>
          <w:rFonts w:asciiTheme="minorHAnsi" w:hAnsiTheme="minorHAnsi" w:cstheme="minorBidi"/>
          <w:sz w:val="22"/>
          <w:szCs w:val="22"/>
        </w:rPr>
        <w:t>significantly different groups demarcated with brackets and stars</w:t>
      </w:r>
      <w:r w:rsidR="00202AD8">
        <w:rPr>
          <w:rFonts w:asciiTheme="minorHAnsi" w:hAnsiTheme="minorHAnsi" w:cstheme="minorBidi"/>
          <w:sz w:val="22"/>
          <w:szCs w:val="22"/>
        </w:rPr>
        <w:t xml:space="preserve"> (</w:t>
      </w:r>
      <w:r w:rsidR="008317C5">
        <w:rPr>
          <w:rFonts w:asciiTheme="minorHAnsi" w:hAnsiTheme="minorHAnsi" w:cstheme="minorBidi"/>
          <w:sz w:val="22"/>
          <w:szCs w:val="22"/>
        </w:rPr>
        <w:t xml:space="preserve">TP0: </w:t>
      </w:r>
      <w:r w:rsidR="00202AD8">
        <w:rPr>
          <w:rFonts w:asciiTheme="minorHAnsi" w:hAnsiTheme="minorHAnsi" w:cstheme="minorBidi"/>
          <w:sz w:val="22"/>
          <w:szCs w:val="22"/>
        </w:rPr>
        <w:t xml:space="preserve">Dunn’s test p </w:t>
      </w:r>
      <w:r w:rsidR="008206D8">
        <w:rPr>
          <w:rFonts w:asciiTheme="minorHAnsi" w:hAnsiTheme="minorHAnsi" w:cstheme="minorBidi"/>
          <w:sz w:val="22"/>
          <w:szCs w:val="22"/>
        </w:rPr>
        <w:t>= 0.036</w:t>
      </w:r>
      <w:r w:rsidR="00490EF2">
        <w:rPr>
          <w:rFonts w:asciiTheme="minorHAnsi" w:hAnsiTheme="minorHAnsi" w:cstheme="minorBidi"/>
          <w:sz w:val="22"/>
          <w:szCs w:val="22"/>
        </w:rPr>
        <w:t>*</w:t>
      </w:r>
      <w:r w:rsidR="008317C5">
        <w:rPr>
          <w:rFonts w:asciiTheme="minorHAnsi" w:hAnsiTheme="minorHAnsi" w:cstheme="minorBidi"/>
          <w:sz w:val="22"/>
          <w:szCs w:val="22"/>
        </w:rPr>
        <w:t>; TP</w:t>
      </w:r>
      <w:r w:rsidR="00A519E2">
        <w:rPr>
          <w:rFonts w:asciiTheme="minorHAnsi" w:hAnsiTheme="minorHAnsi" w:cstheme="minorBidi"/>
          <w:sz w:val="22"/>
          <w:szCs w:val="22"/>
        </w:rPr>
        <w:t xml:space="preserve">1/TP2: </w:t>
      </w:r>
      <w:r w:rsidR="006420A6">
        <w:rPr>
          <w:rFonts w:asciiTheme="minorHAnsi" w:hAnsiTheme="minorHAnsi" w:cstheme="minorBidi"/>
          <w:sz w:val="22"/>
          <w:szCs w:val="22"/>
        </w:rPr>
        <w:t>EMM</w:t>
      </w:r>
      <w:r w:rsidR="008206D8">
        <w:rPr>
          <w:rFonts w:asciiTheme="minorHAnsi" w:hAnsiTheme="minorHAnsi" w:cstheme="minorBidi"/>
          <w:sz w:val="22"/>
          <w:szCs w:val="22"/>
        </w:rPr>
        <w:t xml:space="preserve"> p = 0.0012</w:t>
      </w:r>
      <w:r w:rsidR="00490EF2">
        <w:rPr>
          <w:rFonts w:asciiTheme="minorHAnsi" w:hAnsiTheme="minorHAnsi" w:cstheme="minorBidi"/>
          <w:sz w:val="22"/>
          <w:szCs w:val="22"/>
        </w:rPr>
        <w:t>**</w:t>
      </w:r>
      <w:r w:rsidR="00202AD8">
        <w:rPr>
          <w:rFonts w:asciiTheme="minorHAnsi" w:hAnsiTheme="minorHAnsi" w:cstheme="minorBidi"/>
          <w:sz w:val="22"/>
          <w:szCs w:val="22"/>
        </w:rPr>
        <w:t>)</w:t>
      </w:r>
      <w:r w:rsidRPr="6CA883F0">
        <w:rPr>
          <w:rFonts w:asciiTheme="minorHAnsi" w:hAnsiTheme="minorHAnsi" w:cstheme="minorBidi"/>
          <w:sz w:val="22"/>
          <w:szCs w:val="22"/>
        </w:rPr>
        <w:t>.</w:t>
      </w:r>
      <w:r w:rsidR="00CD4520">
        <w:rPr>
          <w:rFonts w:asciiTheme="minorHAnsi" w:hAnsiTheme="minorHAnsi" w:cstheme="minorBidi"/>
          <w:sz w:val="22"/>
          <w:szCs w:val="22"/>
        </w:rPr>
        <w:t xml:space="preserve"> </w:t>
      </w:r>
      <w:r w:rsidR="00740B0A">
        <w:rPr>
          <w:rFonts w:asciiTheme="minorHAnsi" w:hAnsiTheme="minorHAnsi" w:cstheme="minorBidi"/>
          <w:sz w:val="22"/>
          <w:szCs w:val="22"/>
        </w:rPr>
        <w:t>Linear regression</w:t>
      </w:r>
      <w:r w:rsidRPr="6CA883F0">
        <w:rPr>
          <w:rFonts w:asciiTheme="minorHAnsi" w:hAnsiTheme="minorHAnsi" w:cstheme="minorBidi"/>
          <w:sz w:val="22"/>
          <w:szCs w:val="22"/>
        </w:rPr>
        <w:t xml:space="preserve"> </w:t>
      </w:r>
      <w:r w:rsidR="003A2EFB">
        <w:rPr>
          <w:rFonts w:asciiTheme="minorHAnsi" w:hAnsiTheme="minorHAnsi" w:cstheme="minorBidi"/>
          <w:sz w:val="22"/>
          <w:szCs w:val="22"/>
        </w:rPr>
        <w:t xml:space="preserve">(E-F) </w:t>
      </w:r>
      <w:r w:rsidRPr="6CA883F0">
        <w:rPr>
          <w:rFonts w:asciiTheme="minorHAnsi" w:hAnsiTheme="minorHAnsi" w:cstheme="minorBidi"/>
          <w:sz w:val="22"/>
          <w:szCs w:val="22"/>
        </w:rPr>
        <w:t>between the first principal coordinate of bacterial community composition and Bd load</w:t>
      </w:r>
      <w:r w:rsidR="00212A14">
        <w:rPr>
          <w:rFonts w:asciiTheme="minorHAnsi" w:hAnsiTheme="minorHAnsi" w:cstheme="minorBidi"/>
          <w:sz w:val="22"/>
          <w:szCs w:val="22"/>
        </w:rPr>
        <w:t xml:space="preserve"> </w:t>
      </w:r>
      <w:r w:rsidR="000F5E8D">
        <w:rPr>
          <w:rFonts w:asciiTheme="minorHAnsi" w:hAnsiTheme="minorHAnsi" w:cstheme="minorBidi"/>
          <w:sz w:val="22"/>
          <w:szCs w:val="22"/>
        </w:rPr>
        <w:t xml:space="preserve">showing the </w:t>
      </w:r>
      <w:r w:rsidR="00CF769E">
        <w:rPr>
          <w:rFonts w:asciiTheme="minorHAnsi" w:hAnsiTheme="minorHAnsi" w:cstheme="minorBidi"/>
          <w:sz w:val="22"/>
          <w:szCs w:val="22"/>
        </w:rPr>
        <w:t xml:space="preserve">regression line with </w:t>
      </w:r>
      <w:r w:rsidR="006C2C09">
        <w:rPr>
          <w:rFonts w:asciiTheme="minorHAnsi" w:hAnsiTheme="minorHAnsi" w:cstheme="minorBidi"/>
          <w:sz w:val="22"/>
          <w:szCs w:val="22"/>
        </w:rPr>
        <w:t>95</w:t>
      </w:r>
      <w:r w:rsidR="00BC20B7">
        <w:rPr>
          <w:rFonts w:asciiTheme="minorHAnsi" w:hAnsiTheme="minorHAnsi" w:cstheme="minorBidi"/>
          <w:sz w:val="22"/>
          <w:szCs w:val="22"/>
        </w:rPr>
        <w:t xml:space="preserve"> </w:t>
      </w:r>
      <w:r w:rsidR="006C2C09">
        <w:rPr>
          <w:rFonts w:asciiTheme="minorHAnsi" w:hAnsiTheme="minorHAnsi" w:cstheme="minorBidi"/>
          <w:sz w:val="22"/>
          <w:szCs w:val="22"/>
        </w:rPr>
        <w:t xml:space="preserve">% confidence </w:t>
      </w:r>
      <w:r w:rsidR="006C2C09">
        <w:rPr>
          <w:rFonts w:asciiTheme="minorHAnsi" w:hAnsiTheme="minorHAnsi" w:cstheme="minorBidi"/>
          <w:sz w:val="22"/>
          <w:szCs w:val="22"/>
        </w:rPr>
        <w:lastRenderedPageBreak/>
        <w:t xml:space="preserve">intervals; </w:t>
      </w:r>
      <w:r w:rsidRPr="6CA883F0">
        <w:rPr>
          <w:rFonts w:asciiTheme="minorHAnsi" w:hAnsiTheme="minorHAnsi" w:cstheme="minorBidi"/>
          <w:sz w:val="22"/>
          <w:szCs w:val="22"/>
        </w:rPr>
        <w:t>the effect of Bd load on the skin microbiome bec</w:t>
      </w:r>
      <w:r w:rsidR="000F5E8D">
        <w:rPr>
          <w:rFonts w:asciiTheme="minorHAnsi" w:hAnsiTheme="minorHAnsi" w:cstheme="minorBidi"/>
          <w:sz w:val="22"/>
          <w:szCs w:val="22"/>
        </w:rPr>
        <w:t>ame</w:t>
      </w:r>
      <w:r w:rsidRPr="6CA883F0">
        <w:rPr>
          <w:rFonts w:asciiTheme="minorHAnsi" w:hAnsiTheme="minorHAnsi" w:cstheme="minorBidi"/>
          <w:sz w:val="22"/>
          <w:szCs w:val="22"/>
        </w:rPr>
        <w:t xml:space="preserve"> more pronounced from early infection (E) to late infection (F). </w:t>
      </w:r>
      <w:r w:rsidR="009B5CB1">
        <w:rPr>
          <w:rFonts w:asciiTheme="minorHAnsi" w:hAnsiTheme="minorHAnsi" w:cstheme="minorBidi"/>
          <w:sz w:val="22"/>
          <w:szCs w:val="22"/>
        </w:rPr>
        <w:t xml:space="preserve">In all subplot, untreated animals = medium blue circles, mock-mock animals = dark goldenrod circles, mock-Bd animals = dark goldenrod triangles, Bd-mock animals = dark crimson circles, and Bd-Bd animals = dark crimson triangles; each point represents an individual. </w:t>
      </w:r>
      <w:r w:rsidR="6F8377C0" w:rsidRPr="6CA883F0">
        <w:rPr>
          <w:rFonts w:asciiTheme="minorHAnsi" w:hAnsiTheme="minorHAnsi" w:cstheme="minorBidi"/>
          <w:sz w:val="22"/>
          <w:szCs w:val="22"/>
        </w:rPr>
        <w:br w:type="page"/>
      </w:r>
    </w:p>
    <w:p w14:paraId="3EA45619" w14:textId="77777777" w:rsidR="00DC17C1" w:rsidRDefault="00DC17C1" w:rsidP="00B57C5D">
      <w:pPr>
        <w:spacing w:line="480" w:lineRule="auto"/>
        <w:rPr>
          <w:rFonts w:asciiTheme="minorHAnsi" w:hAnsiTheme="minorHAnsi" w:cstheme="minorHAnsi"/>
          <w:b/>
          <w:bCs/>
          <w:sz w:val="22"/>
          <w:szCs w:val="22"/>
        </w:rPr>
      </w:pPr>
    </w:p>
    <w:p w14:paraId="0EA524DE" w14:textId="30758470" w:rsidR="00DC17C1" w:rsidRDefault="00DF23B4" w:rsidP="00B57C5D">
      <w:pPr>
        <w:spacing w:line="480" w:lineRule="auto"/>
        <w:rPr>
          <w:rFonts w:asciiTheme="minorHAnsi" w:hAnsiTheme="minorHAnsi" w:cstheme="minorHAnsi"/>
          <w:b/>
          <w:bCs/>
          <w:sz w:val="22"/>
          <w:szCs w:val="22"/>
        </w:rPr>
      </w:pPr>
      <w:r w:rsidRPr="00DF23B4">
        <w:rPr>
          <w:rFonts w:asciiTheme="minorHAnsi" w:hAnsiTheme="minorHAnsi" w:cstheme="minorHAnsi"/>
          <w:b/>
          <w:bCs/>
          <w:noProof/>
          <w:sz w:val="22"/>
          <w:szCs w:val="22"/>
        </w:rPr>
        <w:drawing>
          <wp:inline distT="0" distB="0" distL="0" distR="0" wp14:anchorId="2766873E" wp14:editId="0F3CB524">
            <wp:extent cx="5943600" cy="7327265"/>
            <wp:effectExtent l="0" t="0" r="0" b="6985"/>
            <wp:docPr id="106522770" name="Picture 1" descr="A picture containing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22770" name="Picture 1" descr="A picture containing chart&#10;&#10;AI-generated content may be incorrect."/>
                    <pic:cNvPicPr/>
                  </pic:nvPicPr>
                  <pic:blipFill>
                    <a:blip r:embed="rId16"/>
                    <a:stretch>
                      <a:fillRect/>
                    </a:stretch>
                  </pic:blipFill>
                  <pic:spPr>
                    <a:xfrm>
                      <a:off x="0" y="0"/>
                      <a:ext cx="5943600" cy="7327265"/>
                    </a:xfrm>
                    <a:prstGeom prst="rect">
                      <a:avLst/>
                    </a:prstGeom>
                  </pic:spPr>
                </pic:pic>
              </a:graphicData>
            </a:graphic>
          </wp:inline>
        </w:drawing>
      </w:r>
    </w:p>
    <w:p w14:paraId="565E933B" w14:textId="4793469F" w:rsidR="00B57C5D" w:rsidRPr="004B4F2D" w:rsidRDefault="6CD91A3F" w:rsidP="6CD91A3F">
      <w:pPr>
        <w:spacing w:line="480" w:lineRule="auto"/>
        <w:rPr>
          <w:rFonts w:asciiTheme="minorHAnsi" w:hAnsiTheme="minorHAnsi" w:cstheme="minorBidi"/>
          <w:b/>
          <w:bCs/>
          <w:sz w:val="22"/>
          <w:szCs w:val="22"/>
        </w:rPr>
      </w:pPr>
      <w:r w:rsidRPr="6CD91A3F">
        <w:rPr>
          <w:rFonts w:asciiTheme="minorHAnsi" w:hAnsiTheme="minorHAnsi" w:cstheme="minorBidi"/>
          <w:b/>
          <w:bCs/>
          <w:sz w:val="22"/>
          <w:szCs w:val="22"/>
        </w:rPr>
        <w:lastRenderedPageBreak/>
        <w:t xml:space="preserve">Figure 7. </w:t>
      </w:r>
      <w:r w:rsidRPr="6CD91A3F">
        <w:rPr>
          <w:rFonts w:asciiTheme="minorHAnsi" w:hAnsiTheme="minorHAnsi" w:cstheme="minorBidi"/>
          <w:sz w:val="22"/>
          <w:szCs w:val="22"/>
        </w:rPr>
        <w:t>Gene–microbe correlations between CCA-selected features. A) The bipartite network shows correlations between host genes and bacterial ASVs which were significant at both timepoints (adjusted p-value &lt; 0.05; |r| &gt; 0.1). Nodes representing host genes are colored according to broad immune functional category. Bacterial nodes are named for the most specific taxonomic level they were annotated to. Node size is proportional to the number of significant gene–microbe correlations connected to that feature. Edges are colored according to correlation sign. B) The bar plot shows the number of significant gene–microbe correlations for the top 20 bacterial ASVs, colored by bacterial phylum.</w:t>
      </w:r>
    </w:p>
    <w:p w14:paraId="6B382200" w14:textId="77777777" w:rsidR="000C78D8" w:rsidRDefault="000C78D8" w:rsidP="00547AFA">
      <w:pPr>
        <w:spacing w:line="480" w:lineRule="auto"/>
        <w:rPr>
          <w:rFonts w:asciiTheme="minorHAnsi" w:hAnsiTheme="minorHAnsi" w:cstheme="minorHAnsi"/>
          <w:b/>
          <w:bCs/>
          <w:sz w:val="22"/>
          <w:szCs w:val="22"/>
        </w:rPr>
      </w:pPr>
    </w:p>
    <w:p w14:paraId="47615B77" w14:textId="45125448" w:rsidR="007D4F18" w:rsidRPr="00D16989" w:rsidRDefault="00ED1453" w:rsidP="00547AFA">
      <w:pPr>
        <w:spacing w:line="480" w:lineRule="auto"/>
        <w:rPr>
          <w:rFonts w:asciiTheme="minorHAnsi" w:hAnsiTheme="minorHAnsi" w:cstheme="minorHAnsi"/>
          <w:b/>
          <w:bCs/>
          <w:sz w:val="22"/>
          <w:szCs w:val="22"/>
        </w:rPr>
      </w:pPr>
      <w:r w:rsidRPr="00D16989">
        <w:rPr>
          <w:rFonts w:asciiTheme="minorHAnsi" w:hAnsiTheme="minorHAnsi" w:cstheme="minorHAnsi"/>
          <w:b/>
          <w:bCs/>
          <w:sz w:val="22"/>
          <w:szCs w:val="22"/>
        </w:rPr>
        <w:t>Discussion</w:t>
      </w:r>
    </w:p>
    <w:p w14:paraId="20CB95A0" w14:textId="6DB64D7F" w:rsidR="00465F87" w:rsidRPr="0093255D" w:rsidRDefault="00465F87" w:rsidP="00641EC4">
      <w:pPr>
        <w:spacing w:line="480" w:lineRule="auto"/>
        <w:rPr>
          <w:rFonts w:asciiTheme="minorHAnsi" w:hAnsiTheme="minorHAnsi" w:cstheme="minorHAnsi"/>
          <w:b/>
          <w:bCs/>
          <w:sz w:val="22"/>
          <w:szCs w:val="22"/>
        </w:rPr>
      </w:pPr>
      <w:r w:rsidRPr="0093255D">
        <w:rPr>
          <w:rFonts w:asciiTheme="minorHAnsi" w:hAnsiTheme="minorHAnsi" w:cstheme="minorHAnsi"/>
          <w:b/>
          <w:bCs/>
          <w:sz w:val="22"/>
          <w:szCs w:val="22"/>
        </w:rPr>
        <w:t>Host-pathogen relationship</w:t>
      </w:r>
    </w:p>
    <w:p w14:paraId="59CADD7E" w14:textId="1D795346" w:rsidR="00641EC4" w:rsidRPr="00D16989" w:rsidRDefault="27E03292" w:rsidP="27E03292">
      <w:pPr>
        <w:spacing w:line="480" w:lineRule="auto"/>
        <w:rPr>
          <w:rFonts w:asciiTheme="minorHAnsi" w:hAnsiTheme="minorHAnsi" w:cstheme="minorBidi"/>
          <w:noProof/>
          <w:sz w:val="22"/>
          <w:szCs w:val="22"/>
        </w:rPr>
      </w:pPr>
      <w:r w:rsidRPr="27E03292">
        <w:rPr>
          <w:rFonts w:asciiTheme="minorHAnsi" w:hAnsiTheme="minorHAnsi" w:cstheme="minorBidi"/>
          <w:sz w:val="22"/>
          <w:szCs w:val="22"/>
        </w:rPr>
        <w:t xml:space="preserve">Successful adaptive immune responses are marked by effective clearance of a previously encountered pathogen </w:t>
      </w:r>
      <w:r w:rsidR="51FB5895" w:rsidRPr="27E03292">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hX1VqkHN","properties":{"formattedCitation":"(18\\uc0\\u8211{}20)","plainCitation":"(18–20)","noteIndex":0},"citationItems":[{"id":4654,"uris":["http://zotero.org/users/8183159/items/WEBQ8I94"],"itemData":{"id":4654,"type":"article-journal","citation-key":"McMahon2014","container-title":"Nature","DOI":"10.1038/nature13491","ISSN":"0028-0836","issue":"7508","page":"224-227","publisher":"Nature Publishing Group","title":"Amphibians acquire resistance to live and dead fungus overcoming fungal immunosuppression","volume":"511","author":[{"family":"McMahon","given":"Taegan A."},{"family":"Sears","given":"Brittany F."},{"family":"Venesky","given":"Matthew D."},{"family":"Bessler","given":"Scott M."},{"family":"Brown","given":"Jenise M."},{"family":"Deutsch","given":"Kaitlin"},{"family":"Halstead","given":"Neal T."},{"family":"Lentz","given":"Garrett"},{"family":"Tenouri","given":"Nadia"},{"family":"Young","given":"Suzanne"},{"family":"Civitello","given":"David J."},{"family":"Ortega","given":"Nicole"},{"family":"Fites","given":"J. Scott"},{"family":"Reinert","given":"Laura K."},{"family":"Rollins-Smith","given":"Louise A."},{"family":"Raffel","given":"Thomas R."},{"family":"Rohr","given":"Jason R."}],"issued":{"date-parts":[["2014"]]}}},{"id":5950,"uris":["http://zotero.org/users/8183159/items/C54JBMST","http://zotero.org/users/8183159/items/DXVSZQB3"],"itemData":{"id":5950,"type":"article-journal","abstract":"Amphibian biodiversity is experiencing ongoing declines due in part to the infectious disease, chytridiomycosis. Efforts to mitigate the effects of the causal agent of chytridiomycosis, Batrachochytrium dendrobatidis (Bd), in the wild have not been wholly effective. Translocations are an important management tool for amphibians, and immunizations represent a possible strategy for preparing amphibians for release across a landscape where Bd exists. We evaluated the utility of using an isolate of Bd that was shown to be hypovirulent to the relict leopard frog Rana onca as a transmissible inoculum for promoting chytridiomycosis resistance. We conducted a co-housing experiment to determine if the isolate we used could be passed between R. onca without increasing in virulence. We then followed with an experiment where frogs that were exposed to the hypovirulent isolate were then challenged with a virulent Bd isolate. In other experiments, we evaluated whether Bd infections followed by clearance with itraconazole (an antifungal) could increase resistance to chytridiomycosis in R. onca and Rana pipiens (northern leopard frog). We found that our hypovirulent Bd inoculation was transmissible between hosts, did not cause chytridiomycosis and was effective at imparting long-term chytridiomycosis resistance. Rana onca inoculated with the hypovirulent Bd isolate had lower pathogen burdens and were 55 times more likely to survive infections by a virulent Bd isolate than non-inoculated frogs. For both species, prior exposure to Bd followed by infection clearance with itraconazole resulted in significantly increased survivorship and lower pathogen burdens as compared to controls that had no prior Bd exposure. Rana onca that were previously exposed to Bd were more than 15 times more likely to survive infections. Previously exposed R. pipiens survived in higher proportions than controls, but with weaker statistical support. Synthesis and Applications. Translocations are an important management tool for many amphibian conservation programs. For amphibian species that have experienced declines due to the disease chytridiomycosis [caused by the pathogen Batrachochytrium dendrobatidis (Bd)], the success of translocations may be limited due to the persistent threat of the disease in the wild. We completed a series of experiments aimed at increasing amphibian resistance to chytridiomycosis using low-virulence, transmissible Bd inoculations and Bd infection followed by clearance with an antifungal (itraconazole). Our low-virulence Bd inoculations were transmissible, did not cause disease and provided long-term resistance against chytridiomycosis. Similarly, infection with Bd and clearance with itraconazole led to increased resistance to chytridiomycosis in subsequent exposures. The use of a low-virulence Bd inoculation could be further developed into a transmissible vaccine, propagating the protective benefits beyond individuals that can be directly inoculated. At this stage, we advise that using the alternative approach of infecting frogs with Bd from translocation sites followed by clearance of infections with itraconazole may be sensible for increasing host resistance to chytridiomycosis.","container-title":"Journal of Applied Ecology","DOI":"10.1111/1365-2664.13974","ISSN":"13652664","issue":"10","page":"2053-2064","title":"Amphibian resistance to chytridiomycosis increases following low-virulence chytrid fungal infection or drug-mediated clearance","volume":"58","author":[{"family":"Waddle","given":"Anthony W."},{"family":"Rivera","given":"Rebeca"},{"family":"Rice","given":"Hannah"},{"family":"Keenan","given":"Emma C."},{"family":"Rezaei","given":"Ghazal"},{"family":"Levy","given":"Joshua E."},{"family":"Vasquez","given":"Yesenia S."},{"family":"Sai","given":"Marlai"},{"family":"Hill","given":"Jessica"},{"family":"Zmuda","given":"Alexandra"},{"family":"Lambreghts","given":"Yorick"},{"family":"Jaeger","given":"Jef R."}],"issued":{"date-parts":[["2021"]]}}},{"id":12450,"uris":["http://zotero.org/users/8183159/items/UNC5HTRV"],"itemData":{"id":12450,"type":"article-journal","container-title":"Nature","DOI":"10.1038/s41586-024-07582-y","ISSN":"0028-0836, 1476-4687","issue":"8020","journalAbbreviation":"Nature","language":"en","page":"344-349","source":"DOI.org (Crossref)","title":"Hotspot shelters stimulate frog resistance to chytridiomycosis","volume":"631","author":[{"family":"Waddle","given":"Anthony W."},{"family":"Clulow","given":"Simon"},{"family":"Aquilina","given":"Amy"},{"family":"Sauer","given":"Erin L."},{"family":"Kaiser","given":"Shannon W."},{"family":"Miller","given":"Claire"},{"family":"Flegg","given":"Jennifer A."},{"family":"Campbell","given":"Patricia T."},{"family":"Gallagher","given":"Harrison"},{"family":"Dimovski","given":"Ivana"},{"family":"Lambreghts","given":"Yorick"},{"family":"Berger","given":"Lee"},{"family":"Skerratt","given":"Lee F."},{"family":"Shine","given":"Richard"}],"issued":{"date-parts":[["2024",7,11]]}}}],"schema":"https://github.com/citation-style-language/schema/raw/master/csl-citation.json"} </w:instrText>
      </w:r>
      <w:r w:rsidR="51FB5895" w:rsidRPr="27E03292">
        <w:rPr>
          <w:rFonts w:asciiTheme="minorHAnsi" w:hAnsiTheme="minorHAnsi" w:cstheme="minorBidi"/>
          <w:sz w:val="22"/>
          <w:szCs w:val="22"/>
        </w:rPr>
        <w:fldChar w:fldCharType="separate"/>
      </w:r>
      <w:r w:rsidR="00C91241" w:rsidRPr="00C91241">
        <w:rPr>
          <w:rFonts w:ascii="Calibri" w:eastAsiaTheme="minorHAnsi" w:hAnsiTheme="minorHAnsi" w:cs="Calibri"/>
          <w:sz w:val="22"/>
        </w:rPr>
        <w:t>(18–20)</w:t>
      </w:r>
      <w:r w:rsidR="51FB5895" w:rsidRPr="27E03292">
        <w:rPr>
          <w:rFonts w:asciiTheme="minorHAnsi" w:hAnsiTheme="minorHAnsi" w:cstheme="minorBidi"/>
          <w:sz w:val="22"/>
          <w:szCs w:val="22"/>
        </w:rPr>
        <w:fldChar w:fldCharType="end"/>
      </w:r>
      <w:r w:rsidRPr="27E03292">
        <w:rPr>
          <w:rFonts w:asciiTheme="minorHAnsi" w:hAnsiTheme="minorHAnsi" w:cstheme="minorBidi"/>
          <w:sz w:val="22"/>
          <w:szCs w:val="22"/>
        </w:rPr>
        <w:t xml:space="preserve">. We found that </w:t>
      </w:r>
      <w:r w:rsidRPr="27E03292">
        <w:rPr>
          <w:rFonts w:asciiTheme="minorHAnsi" w:hAnsiTheme="minorHAnsi" w:cstheme="minorBidi"/>
          <w:i/>
          <w:iCs/>
          <w:noProof/>
          <w:sz w:val="22"/>
          <w:szCs w:val="22"/>
        </w:rPr>
        <w:t>A. glyphus</w:t>
      </w:r>
      <w:r w:rsidRPr="27E03292">
        <w:rPr>
          <w:rFonts w:asciiTheme="minorHAnsi" w:hAnsiTheme="minorHAnsi" w:cstheme="minorBidi"/>
          <w:noProof/>
          <w:sz w:val="22"/>
          <w:szCs w:val="22"/>
        </w:rPr>
        <w:t xml:space="preserve"> that were infected with and cleared of Bd exhibited stark decreases in their immune gene expression several months following fungal clearance. Among the downregulated genes were genes associated with adaptive immune re</w:t>
      </w:r>
      <w:r w:rsidR="00EE71A0">
        <w:rPr>
          <w:rFonts w:asciiTheme="minorHAnsi" w:hAnsiTheme="minorHAnsi" w:cstheme="minorBidi"/>
          <w:noProof/>
          <w:sz w:val="22"/>
          <w:szCs w:val="22"/>
        </w:rPr>
        <w:t>sp</w:t>
      </w:r>
      <w:r w:rsidRPr="27E03292">
        <w:rPr>
          <w:rFonts w:asciiTheme="minorHAnsi" w:hAnsiTheme="minorHAnsi" w:cstheme="minorBidi"/>
          <w:noProof/>
          <w:sz w:val="22"/>
          <w:szCs w:val="22"/>
        </w:rPr>
        <w:t xml:space="preserve">onses, such as genes encoding antigen presentation components and genes critically involved in B and T cell responses. After re-infection with Bd, previously infected animals had notably increased expression of genes associated with immune suppression, such as CD200, which promotes tolerance </w:t>
      </w:r>
      <w:r w:rsidR="51FB5895" w:rsidRPr="27E03292">
        <w:rPr>
          <w:rFonts w:asciiTheme="minorHAnsi" w:hAnsiTheme="minorHAnsi" w:cstheme="minorBidi"/>
          <w:noProof/>
          <w:sz w:val="22"/>
          <w:szCs w:val="22"/>
        </w:rPr>
        <w:fldChar w:fldCharType="begin"/>
      </w:r>
      <w:r w:rsidR="006159DD">
        <w:rPr>
          <w:rFonts w:asciiTheme="minorHAnsi" w:hAnsiTheme="minorHAnsi" w:cstheme="minorBidi"/>
          <w:noProof/>
          <w:sz w:val="22"/>
          <w:szCs w:val="22"/>
        </w:rPr>
        <w:instrText xml:space="preserve"> ADDIN ZOTERO_ITEM CSL_CITATION {"citationID":"wZ5yUAt1","properties":{"formattedCitation":"(65,66)","plainCitation":"(65,66)","noteIndex":0},"citationItems":[{"id":18708,"uris":["http://zotero.org/groups/6008588/items/K9FMX33E"],"itemData":{"id":18708,"type":"article-journal","abstract":"The CD200 inhibitory immune checkpoint promotes arterial homeostasis and reduces atherosclerotic plaque progression and inflammation in mice by limiting the excessive supply, recruitment and activation of monocytes and macrophages during atherogenesis, according to a new study.","container-title":"Nature Reviews Cardiology","DOI":"10.1038/s41569-021-00578-5","ISSN":"1759-5010","issue":"7","journalAbbreviation":"Nat Rev Cardiol","language":"en","license":"2021 Springer Nature Limited","page":"461-461","publisher":"Nature Publishing Group","source":"www.nature.com","title":"CD200 is an atheroprotective immune checkpoint","volume":"18","author":[{"family":"Fernández-Ruiz","given":"Irene"}],"issued":{"date-parts":[["2021",7]]}}},{"id":19609,"uris":["http://zotero.org/users/8183159/items/WPU88K96"],"itemData":{"id":19609,"type":"article-journal","abstract":"Neural stem/precursor cells (NPC) exhibit powerful immune-modulatory properties. Attenuation of neuroinflammation by intra-cerebroventricular transplantation of NPC, protects from immune-mediated demyelination and axonal injury. The immune modulatory properties of NPC are mediated by a non-species-specific, multiple bystander effect, mediated by both direct cell-cell contact, and by soluble factor(s). CD200 is a cell-surface molecule, with important roles in regulating diverse immune responses, and shown also to limit neuroinflammatory processes. We hypothesized that CD200 may play a role in mediating immune-modulatory effects of NPC. We used wild type and CD200-deficient NPC to examine the role of CD200 in mediating two vital aspects of NPC -immune modulatory properties: (1) Attenuation of autoimmune neuroinflammation; and (2) Suppression of immune rejection response towards transplanted allogeneic NPC from the host CNS. We found that CD200 is dispensable for attenuating acute experimental autoimmune neuroinflammation, but is required for protecting transplanted allogeneic NPC from immune rejection by the host tissue. CD200 deficient NPC showed similar growth, differentiation and survival properties as wild type NPC. CD200-deficient NPC attenuated efficiently T cell activation and proliferation, but exhibited reduced ability to inhibit macrophages. We conclude that CD200 plays a partial role in mediating the immune-modulatory properties of NPC. The differential effect on T cells versus macrophages may underlie the observed discrepancy in their function in vivo.","container-title":"Stem Cell Research","DOI":"10.1016/j.scr.2021.102559","ISSN":"1876-7753","journalAbbreviation":"Stem Cell Res","language":"eng","page":"102559","PMID":"34634761","source":"PubMed","title":"CD200 -dependent and -independent immune-modulatory functions of neural stem cells","volume":"56","author":[{"family":"Arad","given":"Tal"},{"family":"Fainstein","given":"Nina"},{"family":"Goldfarb","given":"Smadar"},{"family":"Lachish","given":"Marva"},{"family":"Ganz","given":"Tal"},{"family":"Ben-Hur","given":"Tamir"}],"issued":{"date-parts":[["2021",10]]}}}],"schema":"https://github.com/citation-style-language/schema/raw/master/csl-citation.json"} </w:instrText>
      </w:r>
      <w:r w:rsidR="51FB5895" w:rsidRPr="27E03292">
        <w:rPr>
          <w:rFonts w:asciiTheme="minorHAnsi" w:hAnsiTheme="minorHAnsi" w:cstheme="minorBidi"/>
          <w:noProof/>
          <w:sz w:val="22"/>
          <w:szCs w:val="22"/>
        </w:rPr>
        <w:fldChar w:fldCharType="separate"/>
      </w:r>
      <w:r w:rsidR="00E865C5">
        <w:rPr>
          <w:rFonts w:asciiTheme="minorHAnsi" w:hAnsiTheme="minorHAnsi" w:cstheme="minorBidi"/>
          <w:noProof/>
          <w:sz w:val="22"/>
          <w:szCs w:val="22"/>
        </w:rPr>
        <w:t>(65,66)</w:t>
      </w:r>
      <w:r w:rsidR="51FB5895" w:rsidRPr="27E03292">
        <w:rPr>
          <w:rFonts w:asciiTheme="minorHAnsi" w:hAnsiTheme="minorHAnsi" w:cstheme="minorBidi"/>
          <w:noProof/>
          <w:sz w:val="22"/>
          <w:szCs w:val="22"/>
        </w:rPr>
        <w:fldChar w:fldCharType="end"/>
      </w:r>
      <w:r w:rsidRPr="27E03292">
        <w:rPr>
          <w:rFonts w:asciiTheme="minorHAnsi" w:hAnsiTheme="minorHAnsi" w:cstheme="minorBidi"/>
          <w:noProof/>
          <w:sz w:val="22"/>
          <w:szCs w:val="22"/>
        </w:rPr>
        <w:t xml:space="preserve">; MS4A4A, a marker of immunosupressive macrophages </w:t>
      </w:r>
      <w:r w:rsidR="51FB5895" w:rsidRPr="27E03292">
        <w:rPr>
          <w:rFonts w:asciiTheme="minorHAnsi" w:hAnsiTheme="minorHAnsi" w:cstheme="minorBidi"/>
          <w:noProof/>
          <w:sz w:val="22"/>
          <w:szCs w:val="22"/>
        </w:rPr>
        <w:fldChar w:fldCharType="begin"/>
      </w:r>
      <w:r w:rsidR="006159DD">
        <w:rPr>
          <w:rFonts w:asciiTheme="minorHAnsi" w:hAnsiTheme="minorHAnsi" w:cstheme="minorBidi"/>
          <w:noProof/>
          <w:sz w:val="22"/>
          <w:szCs w:val="22"/>
        </w:rPr>
        <w:instrText xml:space="preserve"> ADDIN ZOTERO_ITEM CSL_CITATION {"citationID":"Lr7U1rF3","properties":{"formattedCitation":"(67,68)","plainCitation":"(67,68)","noteIndex":0},"citationItems":[{"id":18711,"uris":["http://zotero.org/groups/6008588/items/XNSPUTL4"],"itemData":{"id":18711,"type":"article-journal","abstract":"MS4A4A regulates the expression of arginase 1 in macrophages under IL4 stimulation. Also, MS4A4A regulates eosinophil infiltration during lung allergic inflammation induced by intranasal administration of house dust mite.","container-title":"European Journal of Immunology","DOI":"10.1002/eji.202048585","ISSN":"1521-4141","issue":"10","license":"© 2020 WILEY-VCH Verlag GmbH &amp; Co. KGaA, Weinheim","note":"_eprint: https://onlinelibrary.wiley.com/doi/pdf/10.1002/eji.202048585","page":"1602-1605","source":"Wiley Online Library","title":"MS4A4A Regulates Arginase 1 Induction during Macrophage Polarization and Lung Inflammation in Mice","volume":"50","author":[{"family":"Sui","given":"Yinqiang"},{"family":"Zeng","given":"Wenwen"}],"issued":{"date-parts":[["2020"]]}}},{"id":18709,"uris":["http://zotero.org/groups/6008588/items/Z5DE5GPL"],"itemData":{"id":18709,"type":"article-journal","abstract":"The plasma membrane tetraspan molecule MS4A4A is selectively expressed by macrophage-lineage cells, but its function is unknown. Here we report that MS4A4A was restricted to murine and human mononuclear phagocytes and was induced during monocyte-to-macrophage differentiation in the presence of interleukin 4 or dexamethasone. Human MS4A4A was co-expressed with M2/M2-like molecules in subsets of normal tissue-resident macrophages, infiltrating macrophages from inflamed synovium and tumor-associated macrophages. MS4A4A interacted and colocalized with the β-glucan receptor dectin-1 in lipid rafts. In response to dectin-1 ligands, Ms4a4a-deficient macrophages showed defective signaling and defective production of effector molecules. In experimental models of tumor progression and metastasis, Ms4a4a deficiency in macrophages had no impact on primary tumor growth, but was essential for dectin-1-mediated activation of macrophages and natural killer (NK) cell–mediated metastasis control. Thus, MS4A4A is a tetraspan molecule selectively expressed in macrophages during differentiation and polarization, essential for dectin-1-dependent activation of NK cell–mediated resistance to metastasis.","container-title":"Nature Immunology","DOI":"10.1038/s41590-019-0417-y","ISSN":"1529-2916","issue":"8","journalAbbreviation":"Nat Immunol","language":"en","license":"2019 The Author(s), under exclusive licence to Springer Nature America, Inc.","page":"1012-1022","publisher":"Nature Publishing Group","source":"www.nature.com","title":"The macrophage tetraspan MS4A4A enhances dectin-1-dependent NK cell–mediated resistance to metastasis","volume":"20","author":[{"family":"Mattiola","given":"Irene"},{"family":"Tomay","given":"Federica"},{"family":"De Pizzol","given":"Maria"},{"family":"Silva-Gomes","given":"Rita"},{"family":"Savino","given":"Benedetta"},{"family":"Gulic","given":"Tamara"},{"family":"Doni","given":"Andrea"},{"family":"Lonardi","given":"Silvia"},{"family":"Astrid Boutet","given":"Marie"},{"family":"Nerviani","given":"Alessandra"},{"family":"Carriero","given":"Roberta"},{"family":"Molgora","given":"Martina"},{"family":"Stravalaci","given":"Matteo"},{"family":"Morone","given":"Diego"},{"family":"Shalova","given":"Irina N."},{"family":"Lee","given":"Yunquin"},{"family":"Biswas","given":"Subhra K."},{"family":"Mantovani","given":"Giovanna"},{"family":"Sironi","given":"Marina"},{"family":"Pitzalis","given":"Costantino"},{"family":"Vermi","given":"William"},{"family":"Bottazzi","given":"Barbara"},{"family":"Mantovani","given":"Alberto"},{"family":"Locati","given":"Massimo"}],"issued":{"date-parts":[["2019",8]]}}}],"schema":"https://github.com/citation-style-language/schema/raw/master/csl-citation.json"} </w:instrText>
      </w:r>
      <w:r w:rsidR="51FB5895" w:rsidRPr="27E03292">
        <w:rPr>
          <w:rFonts w:asciiTheme="minorHAnsi" w:hAnsiTheme="minorHAnsi" w:cstheme="minorBidi"/>
          <w:noProof/>
          <w:sz w:val="22"/>
          <w:szCs w:val="22"/>
        </w:rPr>
        <w:fldChar w:fldCharType="separate"/>
      </w:r>
      <w:r w:rsidR="00E865C5">
        <w:rPr>
          <w:rFonts w:asciiTheme="minorHAnsi" w:hAnsiTheme="minorHAnsi" w:cstheme="minorBidi"/>
          <w:noProof/>
          <w:sz w:val="22"/>
          <w:szCs w:val="22"/>
        </w:rPr>
        <w:t>(67,68)</w:t>
      </w:r>
      <w:r w:rsidR="51FB5895" w:rsidRPr="27E03292">
        <w:rPr>
          <w:rFonts w:asciiTheme="minorHAnsi" w:hAnsiTheme="minorHAnsi" w:cstheme="minorBidi"/>
          <w:noProof/>
          <w:sz w:val="22"/>
          <w:szCs w:val="22"/>
        </w:rPr>
        <w:fldChar w:fldCharType="end"/>
      </w:r>
      <w:r w:rsidRPr="27E03292">
        <w:rPr>
          <w:rFonts w:asciiTheme="minorHAnsi" w:hAnsiTheme="minorHAnsi" w:cstheme="minorBidi"/>
          <w:sz w:val="22"/>
          <w:szCs w:val="22"/>
        </w:rPr>
        <w:t xml:space="preserve">; IL10, the hallmark immunosuppressive cytokine </w:t>
      </w:r>
      <w:r w:rsidR="51FB5895" w:rsidRPr="27E03292">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{"citationID":"8OZtgUtM","properties":{"formattedCitation":"(69,70)","plainCitation":"(69,70)","noteIndex":0},"citationItems":[{"id":18716,"uris":["http://zotero.org/groups/6008588/items/DJB9G89I"],"itemData":{"id":18716,"type":"article-journal","abstract":"The IL-10 family of cytokines consists of nine members: IL-10, IL-19, IL-20, IL-22, IL-24, IL-26, and the more distantly related IL-28A, IL-28B, and IL-29. Evolutionarily, IL-10 family cytokines emerged before the adaptive immune response. These cytokines elicit diverse host defense mechanisms, especially from epithelial cells, during various infections. IL-10 family cytokines are essential for maintaining the integrity and homeostasis of tissue epithelial layers. Members of this family can promote innate immune responses from tissue epithelia to limit the damage caused by viral and bacterial infections. These cytokines can also facilitate the tissue-healing process in injuries caused by infection or inflammation. Finally, IL-10 itself can repress proinflammatory responses and limit unnecessary tissue disruptions caused by inflammation. Thus, IL-10 family cytokines have indispensable functions in many infectious and inflammatory diseases.","container-title":"Annual Review of Immunology","DOI":"10.1146/annurev-immunol-031210-101312","ISSN":"0732-0582, 1545-3278","issue":"Volume 29, 2011","language":"en","page":"71-109","publisher":"Annual Reviews","source":"www.annualreviews.org","title":"Regulation and Functions of the IL-10 Family of Cytokines in Inflammation and Disease","volume":"29","author":[{"family":"Ouyang","given":"Wenjun"},{"family":"Rutz","given":"Sascha"},{"family":"Crellin","given":"Natasha K."},{"family":"Valdez","given":"Patricia A."},{"family":"Hymowitz","given":"Sarah G."}],"issued":{"date-parts":[["2011",4,23]]}}},{"id":19611,"uris":["http://zotero.org/users/8183159/items/AHKJMGJJ"],"itemData":{"id":19611,"type":"article-journal","abstract":"INTRODUCTION: Allergen immunotherapy (AIT) is the only disease-modifying treatment for patients with IgE-mediated allergic diseases. Successful AIT can induce long-term immune tolerance to the common allergen, which provides clinical benefits for years after discontinuation. The cytokine interleukin (IL)-10, as a key anti-inflammatory mediator with strong immunoregulatory functions, has drawn increasing attention over the past decades.\nAREAS COVERED: After an extensive search of PubMed, EMBASE, and Web of Science databases, covering articles published from 1989 to 2024, our review aims to emphasize the key common information from previous reviews on the crucial involvement of IL-10 in allergen immunotherapy (AIT) induced immunological tolerance. In this review, we discuss the regulation of IL-10 expression and the molecular pathways associated with IL-10 function. We also further summarize mechanisms of immune tolerance induced by AIT, especially the indispensable role of IL-10 in AIT.\nEXPERT OPINION: IL-10 plays an indispensable role in immune tolerance induced by AIT. Understanding the importance of the role of IL-10 in AIT would help us comprehend the mechanisms thoroughly and develop targeted therapeutics for allergic diseases.","container-title":"Expert Review of Clinical Immunology","DOI":"10.1080/1744666X.2024.2406894","ISSN":"1744-8409","issue":"1","journalAbbreviation":"Expert Rev Clin Immunol","language":"eng","page":"17-28","PMID":"39323099","source":"PubMed","title":"IL-10: the master immunomodulatory cytokine in allergen immunotherapy","title-short":"IL-10","volume":"21","author":[{"family":"Liu","given":"Shixian"},{"family":"Li","given":"Jingyun"},{"family":"Zhang","given":"Yuan"},{"family":"Wang","given":"Chengshuo"},{"family":"Zhang","given":"Luo"}],"issued":{"date-parts":[["2025",1]]}}}],"schema":"https://github.com/citation-style-language/schema/raw/master/csl-citation.json"} </w:instrText>
      </w:r>
      <w:r w:rsidR="51FB5895" w:rsidRPr="27E03292">
        <w:rPr>
          <w:rFonts w:asciiTheme="minorHAnsi" w:hAnsiTheme="minorHAnsi" w:cstheme="minorBidi"/>
          <w:sz w:val="22"/>
          <w:szCs w:val="22"/>
        </w:rPr>
        <w:fldChar w:fldCharType="separate"/>
      </w:r>
      <w:r w:rsidR="00E865C5">
        <w:rPr>
          <w:rFonts w:asciiTheme="minorHAnsi" w:hAnsiTheme="minorHAnsi" w:cstheme="minorBidi"/>
          <w:noProof/>
          <w:sz w:val="22"/>
          <w:szCs w:val="22"/>
        </w:rPr>
        <w:t>(69,70)</w:t>
      </w:r>
      <w:r w:rsidR="51FB5895" w:rsidRPr="27E03292">
        <w:rPr>
          <w:rFonts w:asciiTheme="minorHAnsi" w:hAnsiTheme="minorHAnsi" w:cstheme="minorBidi"/>
          <w:sz w:val="22"/>
          <w:szCs w:val="22"/>
        </w:rPr>
        <w:fldChar w:fldCharType="end"/>
      </w:r>
      <w:r w:rsidRPr="27E03292">
        <w:rPr>
          <w:rFonts w:asciiTheme="minorHAnsi" w:hAnsiTheme="minorHAnsi" w:cstheme="minorBidi"/>
          <w:sz w:val="22"/>
          <w:szCs w:val="22"/>
        </w:rPr>
        <w:t xml:space="preserve">; and TNFAIP3, a  negative regulator of </w:t>
      </w:r>
      <w:proofErr w:type="spellStart"/>
      <w:r w:rsidRPr="27E03292">
        <w:rPr>
          <w:rFonts w:asciiTheme="minorHAnsi" w:hAnsiTheme="minorHAnsi" w:cstheme="minorBidi"/>
          <w:sz w:val="22"/>
          <w:szCs w:val="22"/>
        </w:rPr>
        <w:t>NFkB</w:t>
      </w:r>
      <w:proofErr w:type="spellEnd"/>
      <w:r w:rsidRPr="27E03292">
        <w:rPr>
          <w:rFonts w:asciiTheme="minorHAnsi" w:hAnsiTheme="minorHAnsi" w:cstheme="minorBidi"/>
          <w:sz w:val="22"/>
          <w:szCs w:val="22"/>
        </w:rPr>
        <w:t xml:space="preserve"> </w:t>
      </w:r>
      <w:r w:rsidR="51FB5895" w:rsidRPr="27E03292">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{"citationID":"UT2m9R2T","properties":{"formattedCitation":"(71)","plainCitation":"(71)","noteIndex":0},"citationItems":[{"id":18718,"uris":["http://zotero.org/groups/6008588/items/9GUMH7QG"],"itemData":{"id":18718,"type":"article-journal","abstract":"Aging | doi:10.18632/aging.104160. Jie Chen, Yufei Ma, Zhijie Yang, Haiyang Lan, Guangliang Liu, Ye Zhang, Huiqiang Xia, Xiaofang Wang, Fei Han, Xiaolin Tu, Bo Liu","container-title":"Aging","DOI":"10.18632/aging.104160","ISSN":"1945-4589","issue":"23","language":"en","page":"24242-24254","PMID":"33226960","source":"www.aging-us.com","title":"TNFAIP3 ameliorates the degeneration of inflammatory human nucleus pulposus cells by inhibiting mTOR signaling and promoting autophagy","volume":"12","author":[{"family":"Chen","given":"Jie"},{"family":"Ma","given":"Yufei"},{"family":"Yang","given":"Zhijie"},{"family":"Lan","given":"Haiyang"},{"family":"Liu","given":"Guangliang"},{"family":"Zhang","given":"Ye"},{"family":"Xia","given":"Huiqiang"},{"family":"Wang","given":"Xiaofang"},{"family":"Han","given":"Fei"},{"family":"Tu","given":"Xiaolin"},{"family":"Liu","given":"Bo"}],"issued":{"date-parts":[["2020",11,20]]}}}],"schema":"https://github.com/citation-style-language/schema/raw/master/csl-citation.json"} </w:instrText>
      </w:r>
      <w:r w:rsidR="51FB5895" w:rsidRPr="27E03292">
        <w:rPr>
          <w:rFonts w:asciiTheme="minorHAnsi" w:hAnsiTheme="minorHAnsi" w:cstheme="minorBidi"/>
          <w:sz w:val="22"/>
          <w:szCs w:val="22"/>
        </w:rPr>
        <w:fldChar w:fldCharType="separate"/>
      </w:r>
      <w:r w:rsidR="00E865C5">
        <w:rPr>
          <w:rFonts w:asciiTheme="minorHAnsi" w:hAnsiTheme="minorHAnsi" w:cstheme="minorBidi"/>
          <w:noProof/>
          <w:sz w:val="22"/>
          <w:szCs w:val="22"/>
        </w:rPr>
        <w:t>(71)</w:t>
      </w:r>
      <w:r w:rsidR="51FB5895" w:rsidRPr="27E03292">
        <w:rPr>
          <w:rFonts w:asciiTheme="minorHAnsi" w:hAnsiTheme="minorHAnsi" w:cstheme="minorBidi"/>
          <w:sz w:val="22"/>
          <w:szCs w:val="22"/>
        </w:rPr>
        <w:fldChar w:fldCharType="end"/>
      </w:r>
      <w:r w:rsidRPr="27E03292">
        <w:rPr>
          <w:rFonts w:asciiTheme="minorHAnsi" w:hAnsiTheme="minorHAnsi" w:cstheme="minorBidi"/>
          <w:noProof/>
          <w:sz w:val="22"/>
          <w:szCs w:val="22"/>
        </w:rPr>
        <w:t xml:space="preserve">. These differences could be reflective of several distinct and not necessarily mutually exclusive changes in these animals’ skin and immune cell composition. These immune cell changes could be explained by 1) fewer antigen presenting cells and skin-resident lymphocytes and increased proportions of immuno-supressive cells such as T regulatory cells or 2) following fungal clearance, these animals may have returned to baseline skin immune cell composition, </w:t>
      </w:r>
      <w:r w:rsidRPr="27E03292">
        <w:rPr>
          <w:rFonts w:asciiTheme="minorHAnsi" w:hAnsiTheme="minorHAnsi" w:cstheme="minorBidi"/>
          <w:noProof/>
          <w:sz w:val="22"/>
          <w:szCs w:val="22"/>
        </w:rPr>
        <w:lastRenderedPageBreak/>
        <w:t>comparable to naïve frogs albeit with dampened expression of certain key immune genes. More likely, our results indicate some combinantion of the two, with reduction in some resident skin leukocytes, infiltration of new populations and changes in the expression of other skin-resident leukocyte subsets that persisted throughout the exposure and clearance. It is notable, that the prior infected animals did not exhibit upregulated expression of genes classically associated with immune supression until they were re-infected with Bd. This suggests that the decreased immune gene expression may be the new baseline in these animals while Bd re-infection triggered active immune suppression</w:t>
      </w:r>
      <w:r w:rsidR="00D61B54">
        <w:rPr>
          <w:rFonts w:asciiTheme="minorHAnsi" w:hAnsiTheme="minorHAnsi" w:cstheme="minorBidi"/>
          <w:noProof/>
          <w:sz w:val="22"/>
          <w:szCs w:val="22"/>
        </w:rPr>
        <w:t xml:space="preserve"> in some genes and overactive immune expression in other genes</w:t>
      </w:r>
      <w:r w:rsidRPr="27E03292">
        <w:rPr>
          <w:rFonts w:asciiTheme="minorHAnsi" w:hAnsiTheme="minorHAnsi" w:cstheme="minorBidi"/>
          <w:noProof/>
          <w:sz w:val="22"/>
          <w:szCs w:val="22"/>
        </w:rPr>
        <w:t xml:space="preserve">. </w:t>
      </w:r>
      <w:r w:rsidR="00A71848">
        <w:rPr>
          <w:rFonts w:asciiTheme="minorHAnsi" w:hAnsiTheme="minorHAnsi" w:cstheme="minorBidi"/>
          <w:noProof/>
          <w:sz w:val="22"/>
          <w:szCs w:val="22"/>
        </w:rPr>
        <w:t>A</w:t>
      </w:r>
      <w:r w:rsidRPr="27E03292">
        <w:rPr>
          <w:rFonts w:asciiTheme="minorHAnsi" w:hAnsiTheme="minorHAnsi" w:cstheme="minorBidi"/>
          <w:noProof/>
          <w:sz w:val="22"/>
          <w:szCs w:val="22"/>
        </w:rPr>
        <w:t>t the time of re-</w:t>
      </w:r>
      <w:r w:rsidR="00A71848">
        <w:rPr>
          <w:rFonts w:asciiTheme="minorHAnsi" w:hAnsiTheme="minorHAnsi" w:cstheme="minorBidi"/>
          <w:noProof/>
          <w:sz w:val="22"/>
          <w:szCs w:val="22"/>
        </w:rPr>
        <w:t>infection</w:t>
      </w:r>
      <w:r w:rsidRPr="27E03292">
        <w:rPr>
          <w:rFonts w:asciiTheme="minorHAnsi" w:hAnsiTheme="minorHAnsi" w:cstheme="minorBidi"/>
          <w:noProof/>
          <w:sz w:val="22"/>
          <w:szCs w:val="22"/>
        </w:rPr>
        <w:t xml:space="preserve">, </w:t>
      </w:r>
      <w:r w:rsidR="00A71848">
        <w:rPr>
          <w:rFonts w:asciiTheme="minorHAnsi" w:hAnsiTheme="minorHAnsi" w:cstheme="minorBidi"/>
          <w:noProof/>
          <w:sz w:val="22"/>
          <w:szCs w:val="22"/>
        </w:rPr>
        <w:t>Bd-Bd</w:t>
      </w:r>
      <w:r w:rsidRPr="27E03292">
        <w:rPr>
          <w:rFonts w:asciiTheme="minorHAnsi" w:hAnsiTheme="minorHAnsi" w:cstheme="minorBidi"/>
          <w:noProof/>
          <w:sz w:val="22"/>
          <w:szCs w:val="22"/>
        </w:rPr>
        <w:t xml:space="preserve"> animals were </w:t>
      </w:r>
      <w:r w:rsidR="00606247">
        <w:rPr>
          <w:rFonts w:asciiTheme="minorHAnsi" w:hAnsiTheme="minorHAnsi" w:cstheme="minorBidi"/>
          <w:noProof/>
          <w:sz w:val="22"/>
          <w:szCs w:val="22"/>
        </w:rPr>
        <w:t>likely in a</w:t>
      </w:r>
      <w:r w:rsidRPr="27E03292">
        <w:rPr>
          <w:rFonts w:asciiTheme="minorHAnsi" w:hAnsiTheme="minorHAnsi" w:cstheme="minorBidi"/>
          <w:noProof/>
          <w:sz w:val="22"/>
          <w:szCs w:val="22"/>
        </w:rPr>
        <w:t xml:space="preserve"> relatively immunosup</w:t>
      </w:r>
      <w:r w:rsidR="00A71848">
        <w:rPr>
          <w:rFonts w:asciiTheme="minorHAnsi" w:hAnsiTheme="minorHAnsi" w:cstheme="minorBidi"/>
          <w:noProof/>
          <w:sz w:val="22"/>
          <w:szCs w:val="22"/>
        </w:rPr>
        <w:t>p</w:t>
      </w:r>
      <w:r w:rsidRPr="27E03292">
        <w:rPr>
          <w:rFonts w:asciiTheme="minorHAnsi" w:hAnsiTheme="minorHAnsi" w:cstheme="minorBidi"/>
          <w:noProof/>
          <w:sz w:val="22"/>
          <w:szCs w:val="22"/>
        </w:rPr>
        <w:t>ressed state, which</w:t>
      </w:r>
      <w:r w:rsidR="00606247">
        <w:rPr>
          <w:rFonts w:asciiTheme="minorHAnsi" w:hAnsiTheme="minorHAnsi" w:cstheme="minorBidi"/>
          <w:noProof/>
          <w:sz w:val="22"/>
          <w:szCs w:val="22"/>
        </w:rPr>
        <w:t xml:space="preserve"> could</w:t>
      </w:r>
      <w:r w:rsidRPr="27E03292">
        <w:rPr>
          <w:rFonts w:asciiTheme="minorHAnsi" w:hAnsiTheme="minorHAnsi" w:cstheme="minorBidi"/>
          <w:noProof/>
          <w:sz w:val="22"/>
          <w:szCs w:val="22"/>
        </w:rPr>
        <w:t xml:space="preserve"> have </w:t>
      </w:r>
      <w:r w:rsidR="00606247">
        <w:rPr>
          <w:rFonts w:asciiTheme="minorHAnsi" w:hAnsiTheme="minorHAnsi" w:cstheme="minorBidi"/>
          <w:noProof/>
          <w:sz w:val="22"/>
          <w:szCs w:val="22"/>
        </w:rPr>
        <w:t xml:space="preserve">then </w:t>
      </w:r>
      <w:r w:rsidRPr="27E03292">
        <w:rPr>
          <w:rFonts w:asciiTheme="minorHAnsi" w:hAnsiTheme="minorHAnsi" w:cstheme="minorBidi"/>
          <w:noProof/>
          <w:sz w:val="22"/>
          <w:szCs w:val="22"/>
        </w:rPr>
        <w:t xml:space="preserve">been compounded by Bd re-infection </w:t>
      </w:r>
      <w:r w:rsidR="00587544">
        <w:rPr>
          <w:rFonts w:asciiTheme="minorHAnsi" w:hAnsiTheme="minorHAnsi" w:cstheme="minorBidi"/>
          <w:noProof/>
          <w:sz w:val="22"/>
          <w:szCs w:val="22"/>
        </w:rPr>
        <w:t xml:space="preserve">in key immune genes </w:t>
      </w:r>
      <w:r w:rsidR="0019071C">
        <w:rPr>
          <w:rFonts w:asciiTheme="minorHAnsi" w:hAnsiTheme="minorHAnsi" w:cstheme="minorBidi"/>
          <w:noProof/>
          <w:sz w:val="22"/>
          <w:szCs w:val="22"/>
        </w:rPr>
        <w:t xml:space="preserve">causing </w:t>
      </w:r>
      <w:r w:rsidRPr="27E03292">
        <w:rPr>
          <w:rFonts w:asciiTheme="minorHAnsi" w:hAnsiTheme="minorHAnsi" w:cstheme="minorBidi"/>
          <w:noProof/>
          <w:sz w:val="22"/>
          <w:szCs w:val="22"/>
        </w:rPr>
        <w:t>greater Bd loads</w:t>
      </w:r>
      <w:r w:rsidR="001160D0">
        <w:rPr>
          <w:rFonts w:asciiTheme="minorHAnsi" w:hAnsiTheme="minorHAnsi" w:cstheme="minorBidi"/>
          <w:noProof/>
          <w:sz w:val="22"/>
          <w:szCs w:val="22"/>
        </w:rPr>
        <w:t xml:space="preserve"> and</w:t>
      </w:r>
      <w:r w:rsidRPr="27E03292">
        <w:rPr>
          <w:rFonts w:asciiTheme="minorHAnsi" w:hAnsiTheme="minorHAnsi" w:cstheme="minorBidi"/>
          <w:noProof/>
          <w:sz w:val="22"/>
          <w:szCs w:val="22"/>
        </w:rPr>
        <w:t xml:space="preserve"> poorer survival. </w:t>
      </w:r>
      <w:r w:rsidR="0019071C">
        <w:rPr>
          <w:rFonts w:asciiTheme="minorHAnsi" w:hAnsiTheme="minorHAnsi" w:cstheme="minorBidi"/>
          <w:noProof/>
          <w:sz w:val="22"/>
          <w:szCs w:val="22"/>
        </w:rPr>
        <w:t xml:space="preserve">Additionally, </w:t>
      </w:r>
      <w:r w:rsidR="00587544">
        <w:rPr>
          <w:rFonts w:asciiTheme="minorHAnsi" w:hAnsiTheme="minorHAnsi" w:cstheme="minorBidi"/>
          <w:noProof/>
          <w:sz w:val="22"/>
          <w:szCs w:val="22"/>
        </w:rPr>
        <w:t>re</w:t>
      </w:r>
      <w:r w:rsidR="00391FF7">
        <w:rPr>
          <w:rFonts w:asciiTheme="minorHAnsi" w:hAnsiTheme="minorHAnsi" w:cstheme="minorBidi"/>
          <w:noProof/>
          <w:sz w:val="22"/>
          <w:szCs w:val="22"/>
        </w:rPr>
        <w:t>s</w:t>
      </w:r>
      <w:r w:rsidR="00587544">
        <w:rPr>
          <w:rFonts w:asciiTheme="minorHAnsi" w:hAnsiTheme="minorHAnsi" w:cstheme="minorBidi"/>
          <w:noProof/>
          <w:sz w:val="22"/>
          <w:szCs w:val="22"/>
        </w:rPr>
        <w:t xml:space="preserve">ponses </w:t>
      </w:r>
      <w:r w:rsidR="002B0824">
        <w:rPr>
          <w:rFonts w:asciiTheme="minorHAnsi" w:hAnsiTheme="minorHAnsi" w:cstheme="minorBidi"/>
          <w:noProof/>
          <w:sz w:val="22"/>
          <w:szCs w:val="22"/>
        </w:rPr>
        <w:t>in</w:t>
      </w:r>
      <w:r w:rsidR="0073594E">
        <w:rPr>
          <w:rFonts w:asciiTheme="minorHAnsi" w:hAnsiTheme="minorHAnsi" w:cstheme="minorBidi"/>
          <w:noProof/>
          <w:sz w:val="22"/>
          <w:szCs w:val="22"/>
        </w:rPr>
        <w:t xml:space="preserve"> Bd infected</w:t>
      </w:r>
      <w:r w:rsidR="002B0824">
        <w:rPr>
          <w:rFonts w:asciiTheme="minorHAnsi" w:hAnsiTheme="minorHAnsi" w:cstheme="minorBidi"/>
          <w:noProof/>
          <w:sz w:val="22"/>
          <w:szCs w:val="22"/>
        </w:rPr>
        <w:t xml:space="preserve"> animals </w:t>
      </w:r>
      <w:r w:rsidR="00587544">
        <w:rPr>
          <w:rFonts w:asciiTheme="minorHAnsi" w:hAnsiTheme="minorHAnsi" w:cstheme="minorBidi"/>
          <w:noProof/>
          <w:sz w:val="22"/>
          <w:szCs w:val="22"/>
        </w:rPr>
        <w:t xml:space="preserve">were also observed in </w:t>
      </w:r>
      <w:r w:rsidR="002B0824">
        <w:rPr>
          <w:rFonts w:asciiTheme="minorHAnsi" w:hAnsiTheme="minorHAnsi" w:cstheme="minorBidi"/>
          <w:noProof/>
          <w:sz w:val="22"/>
          <w:szCs w:val="22"/>
        </w:rPr>
        <w:t xml:space="preserve">other immune genes </w:t>
      </w:r>
      <w:r w:rsidR="00BA521D">
        <w:rPr>
          <w:rFonts w:asciiTheme="minorHAnsi" w:hAnsiTheme="minorHAnsi" w:cstheme="minorBidi"/>
          <w:noProof/>
          <w:sz w:val="22"/>
          <w:szCs w:val="22"/>
        </w:rPr>
        <w:t>linked to immune activation</w:t>
      </w:r>
      <w:r w:rsidR="0073594E">
        <w:rPr>
          <w:rFonts w:asciiTheme="minorHAnsi" w:hAnsiTheme="minorHAnsi" w:cstheme="minorBidi"/>
          <w:noProof/>
          <w:sz w:val="22"/>
          <w:szCs w:val="22"/>
        </w:rPr>
        <w:t xml:space="preserve">, </w:t>
      </w:r>
      <w:r w:rsidR="00D36FA9">
        <w:rPr>
          <w:rFonts w:asciiTheme="minorHAnsi" w:hAnsiTheme="minorHAnsi" w:cstheme="minorBidi"/>
          <w:noProof/>
          <w:sz w:val="22"/>
          <w:szCs w:val="22"/>
        </w:rPr>
        <w:t xml:space="preserve">highlighting </w:t>
      </w:r>
      <w:r w:rsidR="008B6BC3">
        <w:rPr>
          <w:rFonts w:asciiTheme="minorHAnsi" w:hAnsiTheme="minorHAnsi" w:cstheme="minorBidi"/>
          <w:noProof/>
          <w:sz w:val="22"/>
          <w:szCs w:val="22"/>
        </w:rPr>
        <w:t xml:space="preserve">that </w:t>
      </w:r>
      <w:r w:rsidR="00936A53">
        <w:rPr>
          <w:rFonts w:asciiTheme="minorHAnsi" w:hAnsiTheme="minorHAnsi" w:cstheme="minorBidi"/>
          <w:noProof/>
          <w:sz w:val="22"/>
          <w:szCs w:val="22"/>
        </w:rPr>
        <w:t xml:space="preserve">dysregulation of the immune system </w:t>
      </w:r>
      <w:r w:rsidR="00E63BB3">
        <w:rPr>
          <w:rFonts w:asciiTheme="minorHAnsi" w:hAnsiTheme="minorHAnsi" w:cstheme="minorBidi"/>
          <w:noProof/>
          <w:sz w:val="22"/>
          <w:szCs w:val="22"/>
        </w:rPr>
        <w:t xml:space="preserve">may also be key in </w:t>
      </w:r>
      <w:r w:rsidR="00AA1F67">
        <w:rPr>
          <w:rFonts w:asciiTheme="minorHAnsi" w:hAnsiTheme="minorHAnsi" w:cstheme="minorBidi"/>
          <w:noProof/>
          <w:sz w:val="22"/>
          <w:szCs w:val="22"/>
        </w:rPr>
        <w:t xml:space="preserve">Bd susceptibility. </w:t>
      </w:r>
    </w:p>
    <w:p w14:paraId="5C64D504" w14:textId="77777777" w:rsidR="00465F87" w:rsidRDefault="00465F87" w:rsidP="00465F87">
      <w:pPr>
        <w:spacing w:line="480" w:lineRule="auto"/>
        <w:rPr>
          <w:rFonts w:asciiTheme="minorHAnsi" w:hAnsiTheme="minorHAnsi" w:cstheme="minorHAnsi"/>
          <w:noProof/>
          <w:sz w:val="22"/>
          <w:szCs w:val="22"/>
        </w:rPr>
      </w:pPr>
    </w:p>
    <w:p w14:paraId="00CC6B19" w14:textId="32FEF245" w:rsidR="00FF534E" w:rsidRPr="006A7EBA" w:rsidRDefault="00936A53" w:rsidP="6FCB7A8F">
      <w:pPr>
        <w:spacing w:line="480" w:lineRule="auto"/>
        <w:rPr>
          <w:rFonts w:asciiTheme="minorHAnsi" w:hAnsiTheme="minorHAnsi" w:cstheme="minorBidi"/>
          <w:sz w:val="22"/>
          <w:szCs w:val="22"/>
        </w:rPr>
      </w:pPr>
      <w:r>
        <w:rPr>
          <w:rFonts w:asciiTheme="minorHAnsi" w:hAnsiTheme="minorHAnsi" w:cstheme="minorBidi"/>
          <w:noProof/>
          <w:sz w:val="22"/>
          <w:szCs w:val="22"/>
        </w:rPr>
        <w:t>O</w:t>
      </w:r>
      <w:r w:rsidR="6FCB7A8F" w:rsidRPr="6FCB7A8F">
        <w:rPr>
          <w:rFonts w:asciiTheme="minorHAnsi" w:hAnsiTheme="minorHAnsi" w:cstheme="minorBidi"/>
          <w:noProof/>
          <w:sz w:val="22"/>
          <w:szCs w:val="22"/>
        </w:rPr>
        <w:t xml:space="preserve">veractive immune </w:t>
      </w:r>
      <w:r w:rsidR="00D15942">
        <w:rPr>
          <w:rFonts w:asciiTheme="minorHAnsi" w:hAnsiTheme="minorHAnsi" w:cstheme="minorBidi"/>
          <w:noProof/>
          <w:sz w:val="22"/>
          <w:szCs w:val="22"/>
        </w:rPr>
        <w:t xml:space="preserve">activation </w:t>
      </w:r>
      <w:r w:rsidR="6FCB7A8F" w:rsidRPr="6FCB7A8F">
        <w:rPr>
          <w:rFonts w:asciiTheme="minorHAnsi" w:hAnsiTheme="minorHAnsi" w:cstheme="minorBidi"/>
          <w:noProof/>
          <w:sz w:val="22"/>
          <w:szCs w:val="22"/>
        </w:rPr>
        <w:t xml:space="preserve">responses </w:t>
      </w:r>
      <w:r w:rsidR="00AA1F67">
        <w:rPr>
          <w:rFonts w:asciiTheme="minorHAnsi" w:hAnsiTheme="minorHAnsi" w:cstheme="minorBidi"/>
          <w:noProof/>
          <w:sz w:val="22"/>
          <w:szCs w:val="22"/>
        </w:rPr>
        <w:t>have been</w:t>
      </w:r>
      <w:r w:rsidR="6FCB7A8F" w:rsidRPr="6FCB7A8F">
        <w:rPr>
          <w:rFonts w:asciiTheme="minorHAnsi" w:hAnsiTheme="minorHAnsi" w:cstheme="minorBidi"/>
          <w:noProof/>
          <w:sz w:val="22"/>
          <w:szCs w:val="22"/>
        </w:rPr>
        <w:t xml:space="preserve"> associated with poorer Bd infection outcomes </w:t>
      </w:r>
      <w:r w:rsidR="0007008B" w:rsidRPr="6FCB7A8F">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{"citationID":"TEQ1wnei","properties":{"formattedCitation":"(2,9,29,72)","plainCitation":"(2,9,29,72)","noteIndex":0},"citationItems":[{"id":4781,"uris":["http://zotero.org/users/8183159/items/8VG2BFV2"],"itemData":{"id":4781,"type":"article-journal","abstract":"The emergence of the disease chytridiomycosis caused by the chytrid fungus Batrachochytrium dendrobatidis (Bd) has been implicated in dramatic global amphibian declines. While many species have undergone catastrophic declines and/or extinctions, others appear to be unaffected or persist at reduced frequencies after Bd outbreaks. The reasons behind this variance in disease outcomes are poorly understood: differences in host immune responses have been proposed, yet previous studies suggest a lack of robust immune responses to Bd in susceptible species. Here, we sequenced transcriptomes from clutch-mates of a highly susceptible amphibian, Atelopus zeteki, with different infection histories. We found significant changes in expression of numerous genes involved in innate and inflammatory responses in infected frogs, despite high susceptibility to chytridiomycosis. We show evidence of acquired immune responses generated against Bd, including increased expression of immunoglobulins and MHC genes. In addition, fungal-killing genes had significantly higher expression in frogs previously exposed to Bd compared to Bd-naïve frogs, including chitinase and serine-type proteases. However, our results appear to confirm recent in vitro evidence of immune suppression by Bd, demonstrated by decreased expression of lymphocyte genes in the spleen of infected compared to control frogs. We propose susceptibility to chytridiomycosis is not due to lack of Bd-specific immune responses, but instead is caused by failure of those responses to be effective. Ineffective immune pathway activation and timing of antibody production are discussed as potential mechanisms. However, in light of our findings, suppression of key immune responses by Bd is likely an important factor in the lethality of this fungus.","citation-key":"Ellison2014","container-title":"G3: Genes Genomes Genetics","DOI":"10.1534/g3.114.010744","ISSN":"2160-1836","issue":"July","note":"ISBN: 2160-1836","page":"1275-1289","PMID":"24841130","title":"Fighting a losing battle: Vigorous immune response countered by pathogen suppression of host defenses in the chytridiomycosis-susceptible frog &lt;i&gt; Atelopus zeteki &lt;/i&gt;","volume":"4","author":[{"family":"Ellison","given":"Amy R"},{"family":"Savage","given":"Anna E"},{"family":"DiRenzo","given":"Grace V"},{"family":"Langhammer","given":"Penny"},{"family":"Lips","given":"Karen R"},{"family":"Zamudio","given":"Kelly R"}],"issued":{"date-parts":[["2014"]]}}},{"id":225,"uris":["http://zotero.org/users/8183159/items/Y7XNPKWL"],"itemData":{"id":225,"type":"article-journal","abstract":"The fungal skin disease, chytridiomycosis (caused by Batrachochytrium dendrobatidis and B. salamandrivorans), has caused amphibian declines and extinctions globally since its emergence. Characterizing the host immune response to chytridiomycosis has been a focus of study with the aim of disease mitigation. However, many aspects of the innate and adaptive arms of this response are still poorly understood, likely due to the wide range of species’ responses to infection. In this paper we provide an overview of expected immunological responses (with inference based on amphibian and mammalian immunology), together with a synthesis of current knowledge about these responses for the amphibian-chytridiomycosis system. We structure our review around four key immune stages: (1) the naïve immunocompetent state, (2) immune defenses that are always present (constitutive defenses), (3) mechanisms for recognition of a pathogen threat and innate immune defenses, and (4) adaptive immune responses. We also evaluate the current hot topics of immunosuppression and immunopathology in chytridiomycosis, and discuss their respective roles in pathogenesis. Our synthesis reveals that susceptibility to chytridiomycosis is likely to be multifactorial. Susceptible amphibians appear to have ineffective constitutive and innate defenses, and a late-stage response characterized by immunopathology and Bd-induced suppression of lymphocyte responses. Overall, we identify substantial gaps in current knowledge, particularly concerning the entire innate immune response (mechanisms of initial pathogen detection and possible immunoevasion by Bd, degree of activation and efficacy of the innate immune response, the unexpected absence of innate leukocyte infiltration, and the cause and role of late-stage immunopathology in pathogenesis). There are also gaps concerning most of the adaptive immune system (the relative importance of B and T cell responses for pathogen clearance, the capacity and extent of immunological memory, and specific mechanisms of pathogen-induced immunosuppression). Improving our capacity for amphibian immunological research will require selection of an appropriate Bd-susceptible model species, the development of taxon-specific affinity reagents and cell lines for functional assays, and the application of a suite of conventional and emerging immunological methods. Despite current knowledge gaps, immunological research remains a promising avenue for amphibian conservation management.","container-title":"Frontiers in Immunology","DOI":"10.3389/fimmu.2018.02536","ISSN":"1664-3224","journalAbbreviation":"Front. Immunol.","language":"English","publisher":"Frontiers","source":"Frontiers","title":"Review of the Amphibian Immune Response to Chytridiomycosis, and Future Directions","URL":"https://www.frontiersin.org/articles/10.3389/fimmu.2018.02536/full","volume":"9","author":[{"family":"Grogan","given":"Laura F."},{"family":"Robert","given":"Jacques"},{"family":"Berger","given":"Lee"},{"family":"Skerratt","given":"Lee F."},{"family":"Scheele","given":"Benjamin C."},{"family":"Castley","given":"J. Guy"},{"family":"Newell","given":"David A."},{"family":"McCallum","given":"Hamish I."}],"accessed":{"date-parts":[["2020",11,20]]},"issued":{"date-parts":[["2018"]]}}},{"id":12435,"uris":["http://zotero.org/users/8183159/items/S67Q7DPS"],"itemData":{"id":12435,"type":"article-journal","abstract":"Chytridiomycosis, the disease caused by the fungal pathogen Batrachochytrium dendrobatidis (Bd), has devastated global amphibian biodiversity. Nevertheless, some hosts avoid disease after Bd exposure even as others experience near-complete extirpation. It remains unclear whether the amphibian adaptive immune system plays a role in Bd defence. Here, we describe gene expression in two host species—one susceptible to chytridiomycosis and one resistant—following exposure to two Bd isolates that differ in virulence. Susceptible wood frogs (Rana sylvatica) had high infection loads and mortality when exposed to the more virulent Bd isolate but lower infection loads and no fatal disease when exposed to the less virulent isolate. Resistant American bullfrogs (R. catesbeiana) had high survival across treatments and rapidly cleared Bd infection or avoided infection entirely. We found widespread upregulation of adaptive immune genes and downregulation of important metabolic and cellular maintenance components in wood frogs after Bd exposure, whereas American bullfrogs showed little gene expression change and no evidence of an adaptive immune response. Wood frog responses suggest that adaptive immune defences may be ineffective against virulent Bd isolates that can cause rapid physiological dysfunction. By contrast, American bullfrogs exhibited robust resistance to Bd that is likely attributable, at least in part, to their continued upkeep of metabolic and skin integrity pathways as well as greater antimicrobial peptide expression compared to wood frogs, regardless of exposure. Greater understanding of these defences will ultimately help conservationists manage chytridiomycosis.","container-title":"Royal Society Open Science","DOI":"10.1098/rsos.170910","issue":"2","page":"170910","publisher":"Royal Society","source":"royalsocietypublishing.org (Atypon)","title":"Gene expression differs in susceptible and resistant amphibians exposed to &lt;i&gt;Batrachochytrium dendrobatidis&lt;/i&gt;","volume":"5","author":[{"family":"Eskew","given":"Evan A."},{"family":"Shock","given":"Barbara C."},{"family":"LaDouceur","given":"Elise E. B."},{"family":"Keel","given":"Kevin"},{"family":"Miller","given":"Michael R."},{"family":"Foley","given":"Janet E."},{"family":"Todd","given":"Brian D."}],"issued":{"date-parts":[["2018",2,28]]}}},{"id":18651,"uris":["http://zotero.org/groups/6008588/items/BSX872JF"],"itemData":{"id":18651,"type":"article-journal","citation-key":"Ellison2014a","DOI":"10.1093/gbe/evu285","issue":"1","note":"ISBN: 2013040120162","page":"286-298","title":"GBE More than Skin Deep : Functional Genomic Basis for Resistance to Amphibian Chytridiomycosis","volume":"7","author":[{"family":"Ellison","given":"Amy R"},{"family":"Tunstall","given":"Tate"},{"family":"Direnzo","given":"Graziella V"},{"family":"Hughey","given":"Myra C"},{"family":"Rebollar","given":"Eria A"},{"family":"Belden","given":"Lisa K"},{"family":"Lips","given":"Karen R"},{"family":"Zamudio","given":"Kelly R"},{"family":"Harris","given":"Reid N"},{"family":"Iba","given":"Roberto"}],"issued":{"date-parts":[["2014"]]}}}],"schema":"https://github.com/citation-style-language/schema/raw/master/csl-citation.json"} </w:instrText>
      </w:r>
      <w:r w:rsidR="0007008B" w:rsidRPr="6FCB7A8F">
        <w:rPr>
          <w:rFonts w:asciiTheme="minorHAnsi" w:hAnsiTheme="minorHAnsi" w:cstheme="minorBidi"/>
          <w:sz w:val="22"/>
          <w:szCs w:val="22"/>
        </w:rPr>
        <w:fldChar w:fldCharType="separate"/>
      </w:r>
      <w:r w:rsidR="00E865C5">
        <w:rPr>
          <w:rFonts w:asciiTheme="minorHAnsi" w:hAnsiTheme="minorHAnsi" w:cstheme="minorBidi"/>
          <w:sz w:val="22"/>
          <w:szCs w:val="22"/>
        </w:rPr>
        <w:t>(2,9,29,72)</w:t>
      </w:r>
      <w:r w:rsidR="0007008B" w:rsidRPr="6FCB7A8F">
        <w:rPr>
          <w:rFonts w:asciiTheme="minorHAnsi" w:hAnsiTheme="minorHAnsi" w:cstheme="minorBidi"/>
          <w:sz w:val="22"/>
          <w:szCs w:val="22"/>
        </w:rPr>
        <w:fldChar w:fldCharType="end"/>
      </w:r>
      <w:r w:rsidR="00046868">
        <w:rPr>
          <w:rFonts w:asciiTheme="minorHAnsi" w:hAnsiTheme="minorHAnsi" w:cstheme="minorBidi"/>
          <w:sz w:val="22"/>
          <w:szCs w:val="22"/>
        </w:rPr>
        <w:t xml:space="preserve">, while tolerant species appear to modulate gene expression in later infection, even if the initial immune response was ineffective at controlling the pathogen </w:t>
      </w:r>
      <w:r w:rsidR="00046868">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{"citationID":"WJVLr4o1","properties":{"formattedCitation":"(14)","plainCitation":"(14)","noteIndex":0},"citationItems":[{"id":"jhYPt1yk/9p2WlWcM","uris":["http://zotero.org/groups/6008588/items/XZMBMNGB"],"itemData":{"id":18566,"type":"article-journal","container-title":"Royal Society Open Science","DOI":"10.1098/rsos.220810","ISSN":"2054-5703","issue":"2","note":"publisher: The Royal Society","title":"Immune priming prior to pathogen exposure sheds light on the relationship between host, microbiome and pathogen in disease","URL":"http://dx.doi.org/10.1098/rsos.220810","volume":"10","author":[{"family":"Kaganer","given":"Alyssa W."},{"family":"Ossiboff","given":"Robert J."},{"family":"Keith","given":"Nicole I."},{"family":"Schuler","given":"Krysten L."},{"family":"Comizzoli","given":"Pierre"},{"family":"Hare","given":"Matthew P."},{"family":"Fleischer","given":"Robert C."},{"family":"Gratwicke","given":"Brian"},{"family":"Bunting","given":"Elizabeth M."}],"issued":{"date-parts":[["2023",2]]}}}],"schema":"https://github.com/citation-style-language/schema/raw/master/csl-citation.json"} </w:instrText>
      </w:r>
      <w:r w:rsidR="00046868">
        <w:rPr>
          <w:rFonts w:asciiTheme="minorHAnsi" w:hAnsiTheme="minorHAnsi" w:cstheme="minorBidi"/>
          <w:sz w:val="22"/>
          <w:szCs w:val="22"/>
        </w:rPr>
        <w:fldChar w:fldCharType="separate"/>
      </w:r>
      <w:r w:rsidR="00C91241">
        <w:rPr>
          <w:rFonts w:asciiTheme="minorHAnsi" w:hAnsiTheme="minorHAnsi" w:cstheme="minorBidi"/>
          <w:noProof/>
          <w:sz w:val="22"/>
          <w:szCs w:val="22"/>
        </w:rPr>
        <w:t>(14)</w:t>
      </w:r>
      <w:r w:rsidR="00046868">
        <w:rPr>
          <w:rFonts w:asciiTheme="minorHAnsi" w:hAnsiTheme="minorHAnsi" w:cstheme="minorBidi"/>
          <w:sz w:val="22"/>
          <w:szCs w:val="22"/>
        </w:rPr>
        <w:fldChar w:fldCharType="end"/>
      </w:r>
      <w:r w:rsidR="6FCB7A8F" w:rsidRPr="6FCB7A8F">
        <w:rPr>
          <w:rFonts w:asciiTheme="minorHAnsi" w:hAnsiTheme="minorHAnsi" w:cstheme="minorBidi"/>
          <w:sz w:val="22"/>
          <w:szCs w:val="22"/>
        </w:rPr>
        <w:t xml:space="preserve">. </w:t>
      </w:r>
      <w:r w:rsidR="00C81207">
        <w:rPr>
          <w:rFonts w:asciiTheme="minorHAnsi" w:hAnsiTheme="minorHAnsi" w:cstheme="minorBidi"/>
          <w:sz w:val="22"/>
          <w:szCs w:val="22"/>
        </w:rPr>
        <w:t xml:space="preserve">Bd </w:t>
      </w:r>
      <w:r w:rsidR="6FCB7A8F" w:rsidRPr="6FCB7A8F">
        <w:rPr>
          <w:rFonts w:asciiTheme="minorHAnsi" w:hAnsiTheme="minorHAnsi" w:cstheme="minorBidi"/>
          <w:sz w:val="22"/>
          <w:szCs w:val="22"/>
        </w:rPr>
        <w:t>is</w:t>
      </w:r>
      <w:r w:rsidR="00F806FB">
        <w:rPr>
          <w:rFonts w:asciiTheme="minorHAnsi" w:hAnsiTheme="minorHAnsi" w:cstheme="minorBidi"/>
          <w:sz w:val="22"/>
          <w:szCs w:val="22"/>
        </w:rPr>
        <w:t xml:space="preserve"> also</w:t>
      </w:r>
      <w:r w:rsidR="6FCB7A8F" w:rsidRPr="6FCB7A8F">
        <w:rPr>
          <w:rFonts w:asciiTheme="minorHAnsi" w:hAnsiTheme="minorHAnsi" w:cstheme="minorBidi"/>
          <w:sz w:val="22"/>
          <w:szCs w:val="22"/>
        </w:rPr>
        <w:t xml:space="preserve"> notorious for its immune suppression of both innate and adaptive immune compartments </w:t>
      </w:r>
      <w:r w:rsidR="0007008B" w:rsidRPr="6FCB7A8F">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WTyh5Hsb","properties":{"formattedCitation":"(10,73,74)","plainCitation":"(10,73,74)","noteIndex":0},"citationItems":[{"id":18721,"uris":["http://zotero.org/groups/6008588/items/R25W296C"],"itemData":{"id":18721,"type":"article-journal","abstract":"Batrachochytrium dendrobatidis is a fungal pathogen in the phylum Chytridiomycota that causes the skin disease chytridiomycosis. Chytridiomycosis is considered an emerging infectious disease linked to worldwide amphibian declines and extinctions. Although amphibians have well-developed immune defenses, clearance of this pathogen from the skin is often impaired. Previously, we showed that the adaptive immune system is involved in the control of the pathogen, but B. dendrobatidis releases factors that inhibit in vitro and in vivo lymphocyte responses and induce lymphocyte apoptosis. Little is known about the nature of the inhibitory factors released by this fungus. Here, we describe the isolation and characterization of three fungal metabolites produced by B. dendrobatidis but not by the closely related nonpathogenic chytrid Homolaphlyctis polyrhiza. These metabolites are methylthioadenosine (MTA), tryptophan, and an oxidized product of tryptophan, kynurenine (Kyn). Independently, both MTA and Kyn inhibit the survival and proliferation of amphibian lymphocytes and the Jurkat human T cell leukemia cell line. However, working together, they become effective at much lower concentrations. We hypothesize that B. dendrobatidis can adapt its metabolism to release products that alter the local environment in the skin to inhibit immunity and enhance the survival of the pathogen.","container-title":"Infection and Immunity","DOI":"10.1128/iai.00877-15","issue":"12","page":"4565-4570","publisher":"American Society for Microbiology","source":"journals.asm.org (Atypon)","title":"Immunomodulatory Metabolites Released by the Frog-Killing Fungus &lt;i&gt;Batrachochytrium dendrobatidis&lt;/i&gt;","volume":"83","author":[{"family":"Rollins-Smith","given":"Louise A."},{"family":"Fites","given":"J. Scott"},{"family":"Reinert","given":"Laura K."},{"family":"Shiakolas","given":"Andrea R."},{"family":"Umile","given":"Thomas P."},{"family":"Minbiole","given":"Kevin P. C."}],"issued":{"date-parts":[["2015",11,10]]}}},{"id":4476,"uris":["http://zotero.org/users/8183159/items/W7KMXWMX"],"itemData":{"id":4476,"type":"article-journal","citation-key":"Fites2013","container-title":"Science","DOI":"10.5061/dryad.878m3","ISSN":"0036-8075","page":"366-369","title":"The Invasive Chytrid Fungus of Amphibians Paralyses Lymphocyte Responses","volume":"342","author":[{"family":"Fites","given":"J. Scott"},{"family":"Ramsey","given":"Jeremy P."},{"family":"Holden","given":"Whitney M."},{"family":"Collier","given":"Sarah P."},{"family":"Sutherland","given":"Danica M."},{"family":"Reinert","given":"Laura K."},{"family":"Gayek","given":"A. Sophia"},{"family":"Dermody","given":"Terence S."},{"family":"Aune","given":"Thomas M."},{"family":"Oswald-Richter","given":"Kyra"},{"family":"Rollins-Smith","given":"Louise A."}],"issued":{"date-parts":[["2013"]]}}},{"id":5721,"uris":["http://zotero.org/users/8183159/items/SFJP47Q2"],"itemData":{"id":5721,"type":"article-journal","abstract":"In the approximately 30 years since the recognition of the crisis of global amphibian declines, much has been learned about the likely causes. Among the leading causes are several amphibian diseases including the disease termed chytridiomycosis caused by the chytrid fungi Batrachochytrium dendrobatidis (Bd) and Batrachochytrium salamandrivorans (Bsal). Here, I briefly review the fundamentals of amphibian immunity, amphibian immune defenses against the chytrid fungi, and the host-pathogen interactions that often favor the pathogen to the detriment of the host. Because amphibians are ectotherms, climate and temperature have a major impact on the amphibian immunity. Thus, I discuss current information about the role that temperature and unpredictable weather events may play in disease and immune responses to the chytrids. Because much research on amphibian declines is directed toward finding management solutions to protect threatened amphibians, I conclude by drawing attention to some of the most promising and novel mitigation strategies that are being proposed.","citation-key":"Rollins-Smith2020","container-title":"Herpetologica","DOI":"10.1655/0018-0831-76.2.178","ISSN":"00180831","issue":"2","page":"178-188","title":"Global amphibian declines, disease, and the ongoing battle between &lt;i&gt;Batrachochytrium&lt;/i&gt; fungi and the immune system","volume":"76","author":[{"family":"Rollins-Smith","given":"Louise A."}],"issued":{"date-parts":[["2020"]]}}}],"schema":"https://github.com/citation-style-language/schema/raw/master/csl-citation.json"} </w:instrText>
      </w:r>
      <w:r w:rsidR="0007008B" w:rsidRPr="6FCB7A8F">
        <w:rPr>
          <w:rFonts w:asciiTheme="minorHAnsi" w:hAnsiTheme="minorHAnsi" w:cstheme="minorBidi"/>
          <w:sz w:val="22"/>
          <w:szCs w:val="22"/>
        </w:rPr>
        <w:fldChar w:fldCharType="separate"/>
      </w:r>
      <w:r w:rsidR="00E865C5">
        <w:rPr>
          <w:rFonts w:ascii="Calibri" w:eastAsiaTheme="minorHAnsi" w:hAnsiTheme="minorHAnsi" w:cs="Calibri"/>
          <w:sz w:val="22"/>
        </w:rPr>
        <w:t>(10,73,74)</w:t>
      </w:r>
      <w:r w:rsidR="0007008B" w:rsidRPr="6FCB7A8F">
        <w:rPr>
          <w:rFonts w:asciiTheme="minorHAnsi" w:hAnsiTheme="minorHAnsi" w:cstheme="minorBidi"/>
          <w:sz w:val="22"/>
          <w:szCs w:val="22"/>
        </w:rPr>
        <w:fldChar w:fldCharType="end"/>
      </w:r>
      <w:r w:rsidR="6FCB7A8F" w:rsidRPr="6FCB7A8F">
        <w:rPr>
          <w:rFonts w:asciiTheme="minorHAnsi" w:hAnsiTheme="minorHAnsi" w:cstheme="minorBidi"/>
          <w:sz w:val="22"/>
          <w:szCs w:val="22"/>
        </w:rPr>
        <w:t xml:space="preserve">. This suppression can lead to killing of lymphocytes and counter-polarization of myeloid cells towards immunosuppressive effectors </w:t>
      </w:r>
      <w:r w:rsidR="0007008B" w:rsidRPr="6FCB7A8F">
        <w:rPr>
          <w:rFonts w:asciiTheme="minorHAnsi" w:hAnsiTheme="minorHAnsi" w:cstheme="minorBidi"/>
          <w:sz w:val="22"/>
          <w:szCs w:val="22"/>
        </w:rPr>
        <w:fldChar w:fldCharType="begin"/>
      </w:r>
      <w:r w:rsidR="006159DD">
        <w:rPr>
          <w:rFonts w:asciiTheme="minorHAnsi" w:hAnsiTheme="minorHAnsi" w:cstheme="minorBidi"/>
          <w:sz w:val="22"/>
          <w:szCs w:val="22"/>
        </w:rPr>
        <w:instrText xml:space="preserve"> ADDIN ZOTERO_ITEM CSL_CITATION {"citationID":"CvVETGFz","properties":{"formattedCitation":"(74,75)","plainCitation":"(74,75)","noteIndex":0},"citationItems":[{"id":4476,"uris":["http://zotero.org/users/8183159/items/W7KMXWMX"],"itemData":{"id":4476,"type":"article-journal","citation-key":"Fites2013","container-title":"Science","DOI":"10.5061/dryad.878m3","ISSN":"0036-8075","page":"366-369","title":"The Invasive Chytrid Fungus of Amphibians Paralyses Lymphocyte Responses","volume":"342","author":[{"family":"Fites","given":"J. Scott"},{"family":"Ramsey","given":"Jeremy P."},{"family":"Holden","given":"Whitney M."},{"family":"Collier","given":"Sarah P."},{"family":"Sutherland","given":"Danica M."},{"family":"Reinert","given":"Laura K."},{"family":"Gayek","given":"A. Sophia"},{"family":"Dermody","given":"Terence S."},{"family":"Aune","given":"Thomas M."},{"family":"Oswald-Richter","given":"Kyra"},{"family":"Rollins-Smith","given":"Louise A."}],"issued":{"date-parts":[["2013"]]}}},{"id":18723,"uris":["http://zotero.org/groups/6008588/items/3PZBQFC2"],"itemData":{"id":18723,"type":"article-journal","abstract":"The chytrid fungus, Batrachochytrium dendrobatidis (Bd), infects amphibian skin, causing chytridiomycosis, which is a contributing cause of worldwide declines and extinctions of amphibians. Relatively little is known about the roles of amphibian skin-resident immune cells, such as macrophages, in these antifungal defenses. Across vertebrates, macrophage differentiation is controlled through the activation of colony-stimulating factor-1 (CSF1) receptor by CSF1 and interleukin-34 (IL34) cytokines. While the precise roles of these respective cytokines in macrophage development remain to be fully explored, our ongoing studies indicate that frog (Xenopus laevis) macrophages differentiated by recombinant forms of CSF1 and IL34 are functionally distinct. Accordingly, we explored the roles of X. laevis CSF1- and IL34-macrophages in anti-Bd defenses. Enriching cutaneous IL34-macrophages, but not CSF1-macrophages, resulted in significant anti-Bd protection. In vitro analysis of frog macrophage-Bd interactions indicated that both macrophage subsets phagocytosed Bd. However, IL34-macrophages cocultured with Bd exhibited greater pro-inflammatory gene expression, whereas CSF1-macrophages cocultured with Bd showed greater immunosuppressive gene expression profiles. Concurrently, Bd-cocultured with CSF1-macrophages, but not IL34-macrophages, possessed elevated expression of genes associated with immune evasion. This work marks a step forward in our understanding of the roles of frog macrophage subsets in antifungal defenses.","container-title":"Journal of Fungi","DOI":"10.3390/jof11040311","ISSN":"2309-608X","issue":"4","language":"en","license":"http://creativecommons.org/licenses/by/3.0/","note":"number: 4","page":"311","publisher":"Multidisciplinary Digital Publishing Institute","source":"www.mdpi.com","title":"Amphibian (&lt;i&gt;Xenopus laevis&lt;/i&gt; Macrophage Subsets Vary in Their Responses to the Chytrid Fungus &lt;i&gt;Batrachochytrium dendrobatidis&lt;/i&gt;","volume":"11","author":[{"family":"Yaparla","given":"Amulya"},{"family":"Popovic","given":"Milan"},{"family":"Hauser","given":"Kelsey A."},{"family":"Rollins-Smith","given":"Louise A."},{"family":"Grayfer","given":"Leon"}],"issued":{"date-parts":[["2025",4]]}}}],"schema":"https://github.com/citation-style-language/schema/raw/master/csl-citation.json"} </w:instrText>
      </w:r>
      <w:r w:rsidR="0007008B" w:rsidRPr="6FCB7A8F">
        <w:rPr>
          <w:rFonts w:asciiTheme="minorHAnsi" w:hAnsiTheme="minorHAnsi" w:cstheme="minorBidi"/>
          <w:sz w:val="22"/>
          <w:szCs w:val="22"/>
        </w:rPr>
        <w:fldChar w:fldCharType="separate"/>
      </w:r>
      <w:r w:rsidR="00E865C5">
        <w:rPr>
          <w:rFonts w:asciiTheme="minorHAnsi" w:hAnsiTheme="minorHAnsi" w:cstheme="minorBidi"/>
          <w:noProof/>
          <w:sz w:val="22"/>
          <w:szCs w:val="22"/>
        </w:rPr>
        <w:t>(74,75)</w:t>
      </w:r>
      <w:r w:rsidR="0007008B" w:rsidRPr="6FCB7A8F">
        <w:rPr>
          <w:rFonts w:asciiTheme="minorHAnsi" w:hAnsiTheme="minorHAnsi" w:cstheme="minorBidi"/>
          <w:sz w:val="22"/>
          <w:szCs w:val="22"/>
        </w:rPr>
        <w:fldChar w:fldCharType="end"/>
      </w:r>
      <w:r w:rsidR="6FCB7A8F" w:rsidRPr="6FCB7A8F">
        <w:rPr>
          <w:rFonts w:asciiTheme="minorHAnsi" w:hAnsiTheme="minorHAnsi" w:cstheme="minorBidi"/>
          <w:sz w:val="22"/>
          <w:szCs w:val="22"/>
        </w:rPr>
        <w:t xml:space="preserve">. </w:t>
      </w:r>
      <w:r w:rsidR="6FCB7A8F" w:rsidRPr="6FCB7A8F">
        <w:rPr>
          <w:rFonts w:asciiTheme="minorHAnsi" w:hAnsiTheme="minorHAnsi" w:cstheme="minorBidi"/>
          <w:noProof/>
          <w:sz w:val="22"/>
          <w:szCs w:val="22"/>
        </w:rPr>
        <w:t xml:space="preserve">Prior comparative gene-expression studies including </w:t>
      </w:r>
      <w:r w:rsidR="6FCB7A8F" w:rsidRPr="6FCB7A8F">
        <w:rPr>
          <w:rFonts w:asciiTheme="minorHAnsi" w:hAnsiTheme="minorHAnsi" w:cstheme="minorBidi"/>
          <w:i/>
          <w:iCs/>
          <w:noProof/>
          <w:sz w:val="22"/>
          <w:szCs w:val="22"/>
        </w:rPr>
        <w:t xml:space="preserve">Atelopus </w:t>
      </w:r>
      <w:r w:rsidR="6FCB7A8F" w:rsidRPr="6FCB7A8F">
        <w:rPr>
          <w:rFonts w:asciiTheme="minorHAnsi" w:hAnsiTheme="minorHAnsi" w:cstheme="minorBidi"/>
          <w:noProof/>
          <w:sz w:val="22"/>
          <w:szCs w:val="22"/>
        </w:rPr>
        <w:t xml:space="preserve">found that less susceptible species had lower suppression of lymphocyte activity, lowered inflammatory responses and upregulated genes maintaining skin integrity </w:t>
      </w:r>
      <w:r w:rsidR="0007008B" w:rsidRPr="6FCB7A8F">
        <w:rPr>
          <w:rFonts w:asciiTheme="minorHAnsi" w:hAnsiTheme="minorHAnsi" w:cstheme="minorBidi"/>
          <w:noProof/>
          <w:sz w:val="22"/>
          <w:szCs w:val="22"/>
        </w:rPr>
        <w:fldChar w:fldCharType="begin"/>
      </w:r>
      <w:r w:rsidR="006159DD">
        <w:rPr>
          <w:rFonts w:asciiTheme="minorHAnsi" w:hAnsiTheme="minorHAnsi" w:cstheme="minorBidi"/>
          <w:noProof/>
          <w:sz w:val="22"/>
          <w:szCs w:val="22"/>
        </w:rPr>
        <w:instrText xml:space="preserve"> ADDIN ZOTERO_ITEM CSL_CITATION {"citationID":"xuLPHWmE","properties":{"formattedCitation":"(72)","plainCitation":"(72)","noteIndex":0},"citationItems":[{"id":18651,"uris":["http://zotero.org/groups/6008588/items/BSX872JF"],"itemData":{"id":18651,"type":"article-journal","citation-key":"Ellison2014a","DOI":"10.1093/gbe/evu285","issue":"1","note":"ISBN: 2013040120162","page":"286-298","title":"GBE More than Skin Deep : Functional Genomic Basis for Resistance to Amphibian Chytridiomycosis","volume":"7","author":[{"family":"Ellison","given":"Amy R"},{"family":"Tunstall","given":"Tate"},{"family":"Direnzo","given":"Graziella V"},{"family":"Hughey","given":"Myra C"},{"family":"Rebollar","given":"Eria A"},{"family":"Belden","given":"Lisa K"},{"family":"Lips","given":"Karen R"},{"family":"Zamudio","given":"Kelly R"},{"family":"Harris","given":"Reid N"},{"family":"Iba","given":"Roberto"}],"issued":{"date-parts":[["2014"]]}}}],"schema":"https://github.com/citation-style-language/schema/raw/master/csl-citation.json"} </w:instrText>
      </w:r>
      <w:r w:rsidR="0007008B" w:rsidRPr="6FCB7A8F">
        <w:rPr>
          <w:rFonts w:asciiTheme="minorHAnsi" w:hAnsiTheme="minorHAnsi" w:cstheme="minorBidi"/>
          <w:noProof/>
          <w:sz w:val="22"/>
          <w:szCs w:val="22"/>
        </w:rPr>
        <w:fldChar w:fldCharType="separate"/>
      </w:r>
      <w:r w:rsidR="00E865C5">
        <w:rPr>
          <w:rFonts w:asciiTheme="minorHAnsi" w:hAnsiTheme="minorHAnsi" w:cstheme="minorBidi"/>
          <w:noProof/>
          <w:sz w:val="22"/>
          <w:szCs w:val="22"/>
        </w:rPr>
        <w:t>(72)</w:t>
      </w:r>
      <w:r w:rsidR="0007008B" w:rsidRPr="6FCB7A8F">
        <w:rPr>
          <w:rFonts w:asciiTheme="minorHAnsi" w:hAnsiTheme="minorHAnsi" w:cstheme="minorBidi"/>
          <w:noProof/>
          <w:sz w:val="22"/>
          <w:szCs w:val="22"/>
        </w:rPr>
        <w:fldChar w:fldCharType="end"/>
      </w:r>
      <w:r w:rsidR="6FCB7A8F" w:rsidRPr="6FCB7A8F">
        <w:rPr>
          <w:rFonts w:asciiTheme="minorHAnsi" w:hAnsiTheme="minorHAnsi" w:cstheme="minorBidi"/>
          <w:noProof/>
          <w:sz w:val="22"/>
          <w:szCs w:val="22"/>
        </w:rPr>
        <w:t xml:space="preserve">.  Our observations indicate that </w:t>
      </w:r>
      <w:r w:rsidR="6FCB7A8F" w:rsidRPr="6FCB7A8F">
        <w:rPr>
          <w:rFonts w:asciiTheme="minorHAnsi" w:hAnsiTheme="minorHAnsi" w:cstheme="minorBidi"/>
          <w:i/>
          <w:iCs/>
          <w:noProof/>
          <w:sz w:val="22"/>
          <w:szCs w:val="22"/>
        </w:rPr>
        <w:t xml:space="preserve">A. glyphus, </w:t>
      </w:r>
      <w:r w:rsidR="6FCB7A8F" w:rsidRPr="6FCB7A8F">
        <w:rPr>
          <w:rFonts w:asciiTheme="minorHAnsi" w:hAnsiTheme="minorHAnsi" w:cstheme="minorBidi"/>
          <w:noProof/>
          <w:sz w:val="22"/>
          <w:szCs w:val="22"/>
        </w:rPr>
        <w:t xml:space="preserve">like </w:t>
      </w:r>
      <w:r w:rsidR="6FCB7A8F" w:rsidRPr="6FCB7A8F">
        <w:rPr>
          <w:rFonts w:asciiTheme="minorHAnsi" w:hAnsiTheme="minorHAnsi" w:cstheme="minorBidi"/>
          <w:i/>
          <w:iCs/>
          <w:noProof/>
          <w:sz w:val="22"/>
          <w:szCs w:val="22"/>
        </w:rPr>
        <w:t>A. zeteki,</w:t>
      </w:r>
      <w:r w:rsidR="6FCB7A8F" w:rsidRPr="6FCB7A8F">
        <w:rPr>
          <w:rFonts w:asciiTheme="minorHAnsi" w:hAnsiTheme="minorHAnsi" w:cstheme="minorBidi"/>
          <w:noProof/>
          <w:sz w:val="22"/>
          <w:szCs w:val="22"/>
        </w:rPr>
        <w:t xml:space="preserve"> are highly susceptible to Bd and that re-</w:t>
      </w:r>
      <w:r w:rsidR="00F806FB">
        <w:rPr>
          <w:rFonts w:asciiTheme="minorHAnsi" w:hAnsiTheme="minorHAnsi" w:cstheme="minorBidi"/>
          <w:noProof/>
          <w:sz w:val="22"/>
          <w:szCs w:val="22"/>
        </w:rPr>
        <w:t>infection</w:t>
      </w:r>
      <w:r w:rsidR="6FCB7A8F" w:rsidRPr="6FCB7A8F">
        <w:rPr>
          <w:rFonts w:asciiTheme="minorHAnsi" w:hAnsiTheme="minorHAnsi" w:cstheme="minorBidi"/>
          <w:noProof/>
          <w:sz w:val="22"/>
          <w:szCs w:val="22"/>
        </w:rPr>
        <w:t xml:space="preserve"> worsens disease outcomes </w:t>
      </w:r>
      <w:r w:rsidR="0007008B" w:rsidRPr="6FCB7A8F">
        <w:rPr>
          <w:rFonts w:asciiTheme="minorHAnsi" w:hAnsiTheme="minorHAnsi" w:cstheme="minorBidi"/>
          <w:noProof/>
          <w:sz w:val="22"/>
          <w:szCs w:val="22"/>
        </w:rPr>
        <w:fldChar w:fldCharType="begin"/>
      </w:r>
      <w:r w:rsidR="006159DD">
        <w:rPr>
          <w:rFonts w:asciiTheme="minorHAnsi" w:hAnsiTheme="minorHAnsi" w:cstheme="minorBidi"/>
          <w:noProof/>
          <w:sz w:val="22"/>
          <w:szCs w:val="22"/>
        </w:rPr>
        <w:instrText xml:space="preserve"> ADDIN ZOTERO_ITEM CSL_CITATION {"citationID":"Nw3o6LNw","properties":{"formattedCitation":"(2)","plainCitation":"(2)","noteIndex":0},"citationItems":[{"id":4781,"uris":["http://zotero.org/users/8183159/items/8VG2BFV2"],"itemData":{"id":4781,"type":"article-journal","abstract":"The emergence of the disease chytridiomycosis caused by the chytrid fungus Batrachochytrium dendrobatidis (Bd) has been implicated in dramatic global amphibian declines. While many species have undergone catastrophic declines and/or extinctions, others appear to be unaffected or persist at reduced frequencies after Bd outbreaks. The reasons behind this variance in disease outcomes are poorly understood: differences in host immune responses have been proposed, yet previous studies suggest a lack of robust immune responses to Bd in susceptible species. Here, we sequenced transcriptomes from clutch-mates of a highly susceptible amphibian, Atelopus zeteki, with different infection histories. We found significant changes in expression of numerous genes involved in innate and inflammatory responses in infected frogs, despite high susceptibility to chytridiomycosis. We show evidence of acquired immune responses generated against Bd, including increased expression of immunoglobulins and MHC genes. In addition, fungal-killing genes had significantly higher expression in frogs previously exposed to Bd compared to Bd-naïve frogs, including chitinase and serine-type proteases. However, our results appear to confirm recent in vitro evidence of immune suppression by Bd, demonstrated by decreased expression of lymphocyte genes in the spleen of infected compared to control frogs. We propose susceptibility to chytridiomycosis is not due to lack of Bd-specific immune responses, but instead is caused by failure of those responses to be effective. Ineffective immune pathway activation and timing of antibody production are discussed as potential mechanisms. However, in light of our findings, suppression of key immune responses by Bd is likely an important factor in the lethality of this fungus.","citation-key":"Ellison2014","container-title":"G3: Genes Genomes Genetics","DOI":"10.1534/g3.114.010744","ISSN":"2160-1836","issue":"July","note":"ISBN: 2160-1836","page":"1275-1289","PMID":"24841130","title":"Fighting a losing battle: Vigorous immune response countered by pathogen suppression of host defenses in the chytridiomycosis-susceptible frog &lt;i&gt; Atelopus zeteki &lt;/i&gt;","volume":"4","author":[{"family":"Ellison","given":"Amy R"},{"family":"Savage","given":"Anna E"},{"family":"DiRenzo","given":"Grace V"},{"family":"Langhammer","given":"Penny"},{"family":"Lips","given":"Karen R"},{"family":"Zamudio","given":"Kelly R"}],"issued":{"date-parts":[["2014"]]}}}],"schema":"https://github.com/citation-style-language/schema/raw/master/csl-citation.json"} </w:instrText>
      </w:r>
      <w:r w:rsidR="0007008B" w:rsidRPr="6FCB7A8F">
        <w:rPr>
          <w:rFonts w:asciiTheme="minorHAnsi" w:hAnsiTheme="minorHAnsi" w:cstheme="minorBidi"/>
          <w:noProof/>
          <w:sz w:val="22"/>
          <w:szCs w:val="22"/>
        </w:rPr>
        <w:fldChar w:fldCharType="separate"/>
      </w:r>
      <w:r w:rsidR="00E87ABB">
        <w:rPr>
          <w:rFonts w:asciiTheme="minorHAnsi" w:hAnsiTheme="minorHAnsi" w:cstheme="minorBidi"/>
          <w:noProof/>
          <w:sz w:val="22"/>
          <w:szCs w:val="22"/>
        </w:rPr>
        <w:t>(2)</w:t>
      </w:r>
      <w:r w:rsidR="0007008B" w:rsidRPr="6FCB7A8F">
        <w:rPr>
          <w:rFonts w:asciiTheme="minorHAnsi" w:hAnsiTheme="minorHAnsi" w:cstheme="minorBidi"/>
          <w:noProof/>
          <w:sz w:val="22"/>
          <w:szCs w:val="22"/>
        </w:rPr>
        <w:fldChar w:fldCharType="end"/>
      </w:r>
      <w:r w:rsidR="6FCB7A8F" w:rsidRPr="6FCB7A8F">
        <w:rPr>
          <w:rFonts w:asciiTheme="minorHAnsi" w:hAnsiTheme="minorHAnsi" w:cstheme="minorBidi"/>
          <w:noProof/>
          <w:sz w:val="22"/>
          <w:szCs w:val="22"/>
        </w:rPr>
        <w:t>, despite earlier suggestions that</w:t>
      </w:r>
      <w:r w:rsidR="6FCB7A8F" w:rsidRPr="6FCB7A8F">
        <w:rPr>
          <w:rFonts w:asciiTheme="minorHAnsi" w:hAnsiTheme="minorHAnsi" w:cstheme="minorBidi"/>
          <w:i/>
          <w:iCs/>
          <w:noProof/>
          <w:sz w:val="22"/>
          <w:szCs w:val="22"/>
        </w:rPr>
        <w:t xml:space="preserve"> A. glyphus</w:t>
      </w:r>
      <w:r w:rsidR="6FCB7A8F" w:rsidRPr="6FCB7A8F">
        <w:rPr>
          <w:rFonts w:asciiTheme="minorHAnsi" w:hAnsiTheme="minorHAnsi" w:cstheme="minorBidi"/>
          <w:noProof/>
          <w:sz w:val="22"/>
          <w:szCs w:val="22"/>
        </w:rPr>
        <w:t xml:space="preserve"> may be </w:t>
      </w:r>
      <w:r w:rsidR="00426A80">
        <w:rPr>
          <w:rFonts w:asciiTheme="minorHAnsi" w:hAnsiTheme="minorHAnsi" w:cstheme="minorBidi"/>
          <w:noProof/>
          <w:sz w:val="22"/>
          <w:szCs w:val="22"/>
        </w:rPr>
        <w:t>moderately</w:t>
      </w:r>
      <w:r w:rsidR="6FCB7A8F" w:rsidRPr="6FCB7A8F">
        <w:rPr>
          <w:rFonts w:asciiTheme="minorHAnsi" w:hAnsiTheme="minorHAnsi" w:cstheme="minorBidi"/>
          <w:noProof/>
          <w:sz w:val="22"/>
          <w:szCs w:val="22"/>
        </w:rPr>
        <w:t xml:space="preserve"> susceptible </w:t>
      </w:r>
      <w:r w:rsidR="0007008B" w:rsidRPr="6FCB7A8F">
        <w:rPr>
          <w:rFonts w:asciiTheme="minorHAnsi" w:hAnsiTheme="minorHAnsi" w:cstheme="minorBidi"/>
          <w:noProof/>
          <w:sz w:val="22"/>
          <w:szCs w:val="22"/>
        </w:rPr>
        <w:fldChar w:fldCharType="begin"/>
      </w:r>
      <w:r w:rsidR="006159DD">
        <w:rPr>
          <w:rFonts w:asciiTheme="minorHAnsi" w:hAnsiTheme="minorHAnsi" w:cstheme="minorBidi"/>
          <w:noProof/>
          <w:sz w:val="22"/>
          <w:szCs w:val="22"/>
        </w:rPr>
        <w:instrText xml:space="preserve"> ADDIN ZOTERO_ITEM CSL_CITATION {"citationID":"pSr0AIfS","properties":{"formattedCitation":"(72)","plainCitation":"(72)","noteIndex":0},"citationItems":[{"id":18651,"uris":["http://zotero.org/groups/6008588/items/BSX872JF"],"itemData":{"id":18651,"type":"article-journal","citation-key":"Ellison2014a","DOI":"10.1093/gbe/evu285","issue":"1","note":"ISBN: 2013040120162","page":"286-298","title":"GBE More than Skin Deep : Functional Genomic Basis for Resistance to Amphibian Chytridiomycosis","volume":"7","author":[{"family":"Ellison","given":"Amy R"},{"family":"Tunstall","given":"Tate"},{"family":"Direnzo","given":"Graziella V"},{"family":"Hughey","given":"Myra C"},{"family":"Rebollar","given":"Eria A"},{"family":"Belden","given":"Lisa K"},{"family":"Lips","given":"Karen R"},{"family":"Zamudio","given":"Kelly R"},{"family":"Harris","given":"Reid N"},{"family":"Iba","given":"Roberto"}],"issued":{"date-parts":[["2014"]]}}}],"schema":"https://github.com/citation-style-language/schema/raw/master/csl-citation.json"} </w:instrText>
      </w:r>
      <w:r w:rsidR="0007008B" w:rsidRPr="6FCB7A8F">
        <w:rPr>
          <w:rFonts w:asciiTheme="minorHAnsi" w:hAnsiTheme="minorHAnsi" w:cstheme="minorBidi"/>
          <w:noProof/>
          <w:sz w:val="22"/>
          <w:szCs w:val="22"/>
        </w:rPr>
        <w:fldChar w:fldCharType="separate"/>
      </w:r>
      <w:r w:rsidR="00E865C5">
        <w:rPr>
          <w:rFonts w:asciiTheme="minorHAnsi" w:hAnsiTheme="minorHAnsi" w:cstheme="minorBidi"/>
          <w:noProof/>
          <w:sz w:val="22"/>
          <w:szCs w:val="22"/>
        </w:rPr>
        <w:t>(72)</w:t>
      </w:r>
      <w:r w:rsidR="0007008B" w:rsidRPr="6FCB7A8F">
        <w:rPr>
          <w:rFonts w:asciiTheme="minorHAnsi" w:hAnsiTheme="minorHAnsi" w:cstheme="minorBidi"/>
          <w:noProof/>
          <w:sz w:val="22"/>
          <w:szCs w:val="22"/>
        </w:rPr>
        <w:fldChar w:fldCharType="end"/>
      </w:r>
      <w:r w:rsidR="6FCB7A8F" w:rsidRPr="6FCB7A8F">
        <w:rPr>
          <w:rFonts w:asciiTheme="minorHAnsi" w:hAnsiTheme="minorHAnsi" w:cstheme="minorBidi"/>
          <w:noProof/>
          <w:sz w:val="22"/>
          <w:szCs w:val="22"/>
        </w:rPr>
        <w:t xml:space="preserve">. </w:t>
      </w:r>
      <w:r w:rsidR="6FCB7A8F" w:rsidRPr="6FCB7A8F">
        <w:rPr>
          <w:rFonts w:asciiTheme="minorHAnsi" w:hAnsiTheme="minorHAnsi" w:cstheme="minorBidi"/>
          <w:sz w:val="22"/>
          <w:szCs w:val="22"/>
        </w:rPr>
        <w:t>Compared to naïve animals, pr</w:t>
      </w:r>
      <w:r w:rsidR="00F806FB">
        <w:rPr>
          <w:rFonts w:asciiTheme="minorHAnsi" w:hAnsiTheme="minorHAnsi" w:cstheme="minorBidi"/>
          <w:sz w:val="22"/>
          <w:szCs w:val="22"/>
        </w:rPr>
        <w:t>ior</w:t>
      </w:r>
      <w:r w:rsidR="6FCB7A8F" w:rsidRPr="6FCB7A8F">
        <w:rPr>
          <w:rFonts w:asciiTheme="minorHAnsi" w:hAnsiTheme="minorHAnsi" w:cstheme="minorBidi"/>
          <w:sz w:val="22"/>
          <w:szCs w:val="22"/>
        </w:rPr>
        <w:t xml:space="preserve"> Bd-</w:t>
      </w:r>
      <w:r w:rsidR="00F806FB">
        <w:rPr>
          <w:rFonts w:asciiTheme="minorHAnsi" w:hAnsiTheme="minorHAnsi" w:cstheme="minorBidi"/>
          <w:sz w:val="22"/>
          <w:szCs w:val="22"/>
        </w:rPr>
        <w:t>infected</w:t>
      </w:r>
      <w:r w:rsidR="6FCB7A8F" w:rsidRPr="6FCB7A8F">
        <w:rPr>
          <w:rFonts w:asciiTheme="minorHAnsi" w:hAnsiTheme="minorHAnsi" w:cstheme="minorBidi"/>
          <w:sz w:val="22"/>
          <w:szCs w:val="22"/>
        </w:rPr>
        <w:t xml:space="preserve"> </w:t>
      </w:r>
      <w:r w:rsidR="6FCB7A8F" w:rsidRPr="6FCB7A8F">
        <w:rPr>
          <w:rFonts w:asciiTheme="minorHAnsi" w:hAnsiTheme="minorHAnsi" w:cstheme="minorBidi"/>
          <w:i/>
          <w:iCs/>
          <w:sz w:val="22"/>
          <w:szCs w:val="22"/>
        </w:rPr>
        <w:t xml:space="preserve">A. </w:t>
      </w:r>
      <w:proofErr w:type="spellStart"/>
      <w:r w:rsidR="6FCB7A8F" w:rsidRPr="6FCB7A8F">
        <w:rPr>
          <w:rFonts w:asciiTheme="minorHAnsi" w:hAnsiTheme="minorHAnsi" w:cstheme="minorBidi"/>
          <w:i/>
          <w:iCs/>
          <w:sz w:val="22"/>
          <w:szCs w:val="22"/>
        </w:rPr>
        <w:t>glyphus</w:t>
      </w:r>
      <w:proofErr w:type="spellEnd"/>
      <w:r w:rsidR="6FCB7A8F" w:rsidRPr="6FCB7A8F">
        <w:rPr>
          <w:rFonts w:asciiTheme="minorHAnsi" w:hAnsiTheme="minorHAnsi" w:cstheme="minorBidi"/>
          <w:sz w:val="22"/>
          <w:szCs w:val="22"/>
        </w:rPr>
        <w:t xml:space="preserve"> mounted both inflammatory and immunosuppressive responses upon re-</w:t>
      </w:r>
      <w:r w:rsidR="00F806FB">
        <w:rPr>
          <w:rFonts w:asciiTheme="minorHAnsi" w:hAnsiTheme="minorHAnsi" w:cstheme="minorBidi"/>
          <w:sz w:val="22"/>
          <w:szCs w:val="22"/>
        </w:rPr>
        <w:t xml:space="preserve">infection, </w:t>
      </w:r>
      <w:r w:rsidR="00F806FB">
        <w:rPr>
          <w:rFonts w:asciiTheme="minorHAnsi" w:hAnsiTheme="minorHAnsi" w:cstheme="minorBidi"/>
          <w:sz w:val="22"/>
          <w:szCs w:val="22"/>
        </w:rPr>
        <w:lastRenderedPageBreak/>
        <w:t xml:space="preserve">which </w:t>
      </w:r>
      <w:r w:rsidR="6FCB7A8F" w:rsidRPr="6FCB7A8F">
        <w:rPr>
          <w:rFonts w:asciiTheme="minorHAnsi" w:hAnsiTheme="minorHAnsi" w:cstheme="minorBidi"/>
          <w:sz w:val="22"/>
          <w:szCs w:val="22"/>
        </w:rPr>
        <w:t xml:space="preserve">could indicate dysregulated immune responses. Alternatively, these overall expression patterns may be a snapshot of a dynamic immune response, perhaps a more robust inflammatory immune response being quelled by greater immune suppression. Deciphering what aspects of these animals’ physiology and/or immune-Bd interactions dictate their immune response outcomes holds the key to understanding the facets of amphibian susceptibility to this pathogen. </w:t>
      </w:r>
      <w:r w:rsidR="6FCB7A8F" w:rsidRPr="6FCB7A8F">
        <w:rPr>
          <w:rFonts w:asciiTheme="minorHAnsi" w:hAnsiTheme="minorHAnsi" w:cstheme="minorBidi"/>
          <w:noProof/>
          <w:sz w:val="22"/>
          <w:szCs w:val="22"/>
        </w:rPr>
        <w:t xml:space="preserve">In this vein, it will be interesting to learn with future studies whether certain non-pathogenic fungi similarly alter frog skin immune systems towards the states seen in </w:t>
      </w:r>
      <w:r w:rsidR="00F806FB">
        <w:rPr>
          <w:rFonts w:asciiTheme="minorHAnsi" w:hAnsiTheme="minorHAnsi" w:cstheme="minorBidi"/>
          <w:noProof/>
          <w:sz w:val="22"/>
          <w:szCs w:val="22"/>
        </w:rPr>
        <w:t>prior Bd-infected</w:t>
      </w:r>
      <w:r w:rsidR="6FCB7A8F" w:rsidRPr="6FCB7A8F">
        <w:rPr>
          <w:rFonts w:asciiTheme="minorHAnsi" w:hAnsiTheme="minorHAnsi" w:cstheme="minorBidi"/>
          <w:noProof/>
          <w:sz w:val="22"/>
          <w:szCs w:val="22"/>
        </w:rPr>
        <w:t xml:space="preserve"> </w:t>
      </w:r>
      <w:r w:rsidR="6FCB7A8F" w:rsidRPr="6FCB7A8F">
        <w:rPr>
          <w:rFonts w:asciiTheme="minorHAnsi" w:hAnsiTheme="minorHAnsi" w:cstheme="minorBidi"/>
          <w:i/>
          <w:iCs/>
          <w:noProof/>
          <w:sz w:val="22"/>
          <w:szCs w:val="22"/>
        </w:rPr>
        <w:t>A. glyphus</w:t>
      </w:r>
      <w:r w:rsidR="6FCB7A8F" w:rsidRPr="6FCB7A8F">
        <w:rPr>
          <w:rFonts w:asciiTheme="minorHAnsi" w:hAnsiTheme="minorHAnsi" w:cstheme="minorBidi"/>
          <w:noProof/>
          <w:sz w:val="22"/>
          <w:szCs w:val="22"/>
        </w:rPr>
        <w:t xml:space="preserve"> reported here. Here, we found that captive </w:t>
      </w:r>
      <w:r w:rsidR="6FCB7A8F" w:rsidRPr="6FCB7A8F">
        <w:rPr>
          <w:rFonts w:asciiTheme="minorHAnsi" w:hAnsiTheme="minorHAnsi" w:cstheme="minorBidi"/>
          <w:i/>
          <w:iCs/>
          <w:noProof/>
          <w:sz w:val="22"/>
          <w:szCs w:val="22"/>
        </w:rPr>
        <w:t xml:space="preserve">A. glyphus </w:t>
      </w:r>
      <w:r w:rsidR="6FCB7A8F" w:rsidRPr="6FCB7A8F">
        <w:rPr>
          <w:rFonts w:asciiTheme="minorHAnsi" w:hAnsiTheme="minorHAnsi" w:cstheme="minorBidi"/>
          <w:noProof/>
          <w:sz w:val="22"/>
          <w:szCs w:val="22"/>
        </w:rPr>
        <w:t xml:space="preserve">hosted approximately 20 fungal strains on average on their skin of presumably non-pathogenic fungi that would be useful for future study to isolate. </w:t>
      </w:r>
    </w:p>
    <w:p w14:paraId="108AD217" w14:textId="77777777" w:rsidR="00465F87" w:rsidRDefault="00465F87" w:rsidP="00547AFA">
      <w:pPr>
        <w:spacing w:line="480" w:lineRule="auto"/>
        <w:rPr>
          <w:rFonts w:asciiTheme="minorHAnsi" w:hAnsiTheme="minorHAnsi" w:cstheme="minorHAnsi"/>
          <w:noProof/>
          <w:sz w:val="22"/>
          <w:szCs w:val="22"/>
        </w:rPr>
      </w:pPr>
    </w:p>
    <w:p w14:paraId="71C89666" w14:textId="26893225" w:rsidR="00465F87" w:rsidRPr="0093255D" w:rsidRDefault="00C76A55" w:rsidP="00547AFA">
      <w:pPr>
        <w:spacing w:line="480" w:lineRule="auto"/>
        <w:rPr>
          <w:rFonts w:asciiTheme="minorHAnsi" w:hAnsiTheme="minorHAnsi" w:cstheme="minorHAnsi"/>
          <w:b/>
          <w:bCs/>
          <w:noProof/>
          <w:sz w:val="22"/>
          <w:szCs w:val="22"/>
        </w:rPr>
      </w:pPr>
      <w:r>
        <w:rPr>
          <w:rFonts w:asciiTheme="minorHAnsi" w:hAnsiTheme="minorHAnsi" w:cstheme="minorHAnsi"/>
          <w:b/>
          <w:bCs/>
          <w:noProof/>
          <w:sz w:val="22"/>
          <w:szCs w:val="22"/>
        </w:rPr>
        <w:t>The s</w:t>
      </w:r>
      <w:r w:rsidR="00465F87" w:rsidRPr="0093255D">
        <w:rPr>
          <w:rFonts w:asciiTheme="minorHAnsi" w:hAnsiTheme="minorHAnsi" w:cstheme="minorHAnsi"/>
          <w:b/>
          <w:bCs/>
          <w:noProof/>
          <w:sz w:val="22"/>
          <w:szCs w:val="22"/>
        </w:rPr>
        <w:t xml:space="preserve">kin-microbial </w:t>
      </w:r>
      <w:r w:rsidR="00465F87">
        <w:rPr>
          <w:rFonts w:asciiTheme="minorHAnsi" w:hAnsiTheme="minorHAnsi" w:cstheme="minorHAnsi"/>
          <w:b/>
          <w:bCs/>
          <w:noProof/>
          <w:sz w:val="22"/>
          <w:szCs w:val="22"/>
        </w:rPr>
        <w:t>i</w:t>
      </w:r>
      <w:r w:rsidR="00465F87" w:rsidRPr="0093255D">
        <w:rPr>
          <w:rFonts w:asciiTheme="minorHAnsi" w:hAnsiTheme="minorHAnsi" w:cstheme="minorHAnsi"/>
          <w:b/>
          <w:bCs/>
          <w:noProof/>
          <w:sz w:val="22"/>
          <w:szCs w:val="22"/>
        </w:rPr>
        <w:t>nterface</w:t>
      </w:r>
    </w:p>
    <w:p w14:paraId="61203BA2" w14:textId="6EED079B" w:rsidR="004A329E" w:rsidRDefault="06B95239" w:rsidP="0E1B7E83">
      <w:pPr>
        <w:spacing w:line="480" w:lineRule="auto"/>
        <w:rPr>
          <w:rFonts w:asciiTheme="minorHAnsi" w:hAnsiTheme="minorHAnsi" w:cstheme="minorBidi"/>
          <w:noProof/>
          <w:sz w:val="22"/>
          <w:szCs w:val="22"/>
        </w:rPr>
      </w:pPr>
      <w:r w:rsidRPr="06B95239">
        <w:rPr>
          <w:rFonts w:asciiTheme="minorHAnsi" w:hAnsiTheme="minorHAnsi" w:cstheme="minorBidi"/>
          <w:noProof/>
          <w:sz w:val="22"/>
          <w:szCs w:val="22"/>
        </w:rPr>
        <w:t xml:space="preserve">Bd exposure and infection often shifts the bacterial composition of amphibian skin microbiomes </w:t>
      </w:r>
      <w:r w:rsidR="7EC1B78C" w:rsidRPr="06B95239">
        <w:rPr>
          <w:rFonts w:asciiTheme="minorHAnsi" w:hAnsiTheme="minorHAnsi" w:cstheme="minorBidi"/>
          <w:noProof/>
          <w:sz w:val="22"/>
          <w:szCs w:val="22"/>
        </w:rPr>
        <w:fldChar w:fldCharType="begin"/>
      </w:r>
      <w:r w:rsidR="7EC1B78C" w:rsidRPr="06B95239">
        <w:rPr>
          <w:rFonts w:asciiTheme="minorHAnsi" w:hAnsiTheme="minorHAnsi" w:cstheme="minorBidi"/>
          <w:noProof/>
          <w:sz w:val="22"/>
          <w:szCs w:val="22"/>
        </w:rPr>
        <w:instrText xml:space="preserve"> ADDIN ZOTERO_ITEM CSL_CITATION {"citationID":"M4zu5hFJ","properties":{"formattedCitation":"(25,76\\uc0\\u8211{}79)","plainCitation":"(25,76–79)","noteIndex":0},"citationItems":[{"id":2859,"uris":["http://zotero.org/groups/2614993/items/WHPW8LZY"],"itemData":{"id":2859,"type":"article-journal","abstract":"Infectious pathogens can disrupt the microbiome in addition to directly affecting the host. Impacts of disease may be dependent on the ability of the microbiome to recover from such disturbance, yet remarkably little is known about microbiome recovery after disease, particularly in nonhuman animals. We assessed the resilience of the amphibian skin microbial community after disturbance by the pathogen, Batrachochytrium dendrobatidis (Bd). Skin microbial communities of laboratory-reared mountain yellow-legged frogs were tracked through three experimental phases: prior to Bd infection, after Bd infection (disturbance), and after clearing Bd infection (recovery period). Bd infection disturbed microbiome composition and altered the relative abundances of several dominant bacterial taxa. After Bd infection, frogs were treated with an antifungal drug that cleared Bd infection, but this did not lead to recovery of microbiome composition (measured as Unifrac distance) or relative abundances of dominant bacterial groups. These results indicate that Bd infection can lead to an alternate stable state in the microbiome of sensitive amphibians, or that microbiome recovery is extremely slow-in either case resilience is low. Furthermore, antifungal treatment and clearance of Bd infection had the additional effect of reducing microbial community variability, which we hypothesize results from similarity across frogs in the taxa that colonize community vacancies resulting from the removal of Bd. Our results indicate that the skin microbiota of mountain yellow-legged frogs has low resilience following Bd-induced disturbance and is further altered by the process of clearing Bd infection, which may have implications for the conservation of this endangered amphibian.","container-title":"ISME JOURNAL","DOI":"10.1038/s41396-020-00875-w","ISSN":"1751-7362","issue":"6","page":"1628-1640","title":"The amphibian microbiome exhibits poor resilience following pathogen-induced disturbance","volume":"15","author":[{"family":"Jani","given":"Andrea J."},{"family":"Bushell","given":"Jessie"},{"family":"Arisdakessian","given":"Cedric G."},{"family":"Belcaid","given":"Mahdi"},{"family":"Boiano","given":"Daniel M."},{"family":"Brown","given":"Cathy"},{"family":"Knapp","given":"Roland A."}],"issued":{"date-parts":[["2021",6]]}}},{"id":4716,"uris":["http://zotero.org/users/8183159/items/A3TFT5TH"],"itemData":{"id":4716,"type":"article-journal","citation-key":"Rebollar2016","container-title":"ISME Journal","DOI":"10.1038/ismej.2015.234","issue":"7","page":"1672-1695","title":"Skin bacterial diversity of Panamanian frogs is associated with host susceptibility and presence of &lt;i&gt;Batrachochytrium dendrobatidis&lt;/i&gt;","volume":"10","author":[{"family":"Rebollar","given":"Eria A"},{"family":"Hughey","given":"Myra C"},{"family":"Medina","given":"Daniel"},{"family":"Harris","given":"Reid N"},{"family":"Ibáñez","given":"Roberto"},{"family":"Belden","given":"Lisa K"}],"issued":{"date-parts":[["2016"]]}}},{"id":5740,"uris":["http://zotero.org/users/8183159/items/SMMTU7J4"],"itemData":{"id":5740,"type":"article-journal","abstract":"Symbiotic microbial communities may interact with infectious pathogens sharing a common host. The microbiome may limit pathogen infection or, conversely, an invading pathogen can disturb the microbiome. Documentation of such relationships during naturally occurring disease outbreaks is rare, and identifying causal links from field observations is difficult. This study documented the effects of an amphibian skin pathogen of global conservation concern [the chytrid fungus Batrachochytrium dendrobatidis (Bd)] on the skin-associated bacterialmicrobiome of the endangered frog, Rana sierrae, using a combination of population surveys and laboratory experiments. We examined covariation of pathogen infection and bacterial microbiome composition in wild frogs, demonstrating a strong and consistent correlation between Bd infection load and bacterial community composition in multiple R. sierrae populations. Despite the correlation between Bd infection load and bacterial community composition, we observed 100% mortality of postmetamorphic frogs during a Bd epizootic, suggesting that the relationship between Bd and bacterial communities was not linked to variation in resistance to mortal disease and that Bd infection altered bacterial communities. In a controlled experiment, Bd infection significantly altered the R. sierrae microbiome, demonstrating a causal relationship. The response of microbial communities to Bd infection was remarkably consistent: Several bacterial taxa showed the same response to Bd infection across multiple field populations and the laboratory experiment, indicating a somewhat predictable interaction between Bd and the microbiome. The laboratory experiment demonstrates that Bd infection causes changes to amphibian skin bacterial communities, whereas the laboratory and field results together strongly support Bd disturbance as a driver of bacterial community change during natural disease dynamics.","citation-key":"Jani2014","container-title":"Proceedings of the National Academy of Sciences of the United States of America","DOI":"10.1073/pnas.1412752111","ISSN":"10916490","issue":"47","page":"E5049-E5058","PMID":"25385615","publisher":"National Academy of Sciences","title":"The pathogen &lt;i&gt;Batrachochytrium dendrobatidis&lt;/i&gt; disturbs the frog skin microbiome during a natural epidemic and experimental infection","volume":"111","author":[{"family":"Jani","given":"Andrea J."},{"family":"Briggs","given":"Cheryl J."}],"issued":{"date-parts":[["2014",11,25]]}}},{"id":12459,"uris":["http://zotero.org/users/8183159/items/TETQZZXB"],"itemData":{"id":12459,"type":"article-journal","abstract":"With emerging diseases on the rise, there is an urgent need to identify and understand novel mechanisms of prophylactic protection in vertebrate hosts. Inducing resistance against emerging pathogens through prophylaxis is an ideal management strategy that may impact pathogens and their host-associated microbiome. The host microbiome is recognized as a critical component of immunity, but the effects of prophylactic inoculation on the microbiome are unknown. In this study, we investigate the effects of prophylaxis on host microbiome composition, focusing on the selection of anti-pathogenic microbes contributing to host acquired immunity in a model host–fungal disease system, amphibian chytridiomycosis. We inoculated larval Pseudacris regilla against the fungal pathogen Batrachochytrium dendrobatidis (Bd) with a Bd metabolite-based prophylactic. Increased prophylactic concentration and exposure duration were associated with significant increases in proportions of putatively Bd-inhibitory host-associated bacterial taxa, indicating a protective prophylactic-induced shift towards microbiome members that are antagonistic to Bd. Our findings are in accordance with the adaptive microbiome hypothesis, where exposure to a pathogen alters the microbiome to better cope with subsequent pathogen encounters. Our study advances research on the temporal dynamics of microbiome memory and the role of prophylaxis-induced shifts in microbiomes contributing to prophylaxis effectiveness.\nThis article is part of the theme issue ‘Amphibian immunity: stress, disease and ecoimmunology’.","container-title":"Philosophical Transactions of the Royal Society B: Biological Sciences","DOI":"10.1098/rstb.2022.0126","issue":"1882","page":"20220126","publisher":"Royal Society","source":"royalsocietypublishing.org (Atypon)","title":"Selection of an anti-pathogen skin microbiome following prophylaxis treatment in an amphibian model system","volume":"378","author":[{"family":"Siomko","given":"Samantha A."},{"family":"Greenspan","given":"Sasha E."},{"family":"Barnett","given":"K. M."},{"family":"Neely","given":"Wesley J."},{"family":"Chtarbanova","given":"Stanislava"},{"family":"Woodhams","given":"Douglas C."},{"family":"McMahon","given":"Taegan A."},{"family":"Becker","given":"C. Guilherme"}],"issued":{"date-parts":[["2023",6,12]]}}},{"id":19583,"uris":["http://zotero.org/groups/6008588/items/Y3P32TTZ"],"itemData":{"id":19583,"type":"article-journal","abstract":"Pathogens compete with host microbiomes for space and resources. Their shared environment impacts pathogen-microbiome-host interactions, which can lead to variation in disease outcome. The skin microbiome of red-backed salamanders (Plethodon cinereus) can reduce infection by the pathogen Batrachochytrium dendrobatidis (Bd) at moderate infection loads, with high species richness and high abundance of competitors as putative mechanisms. However, it is unclear if the skin microbiome can reduce epizootic Bd loads across temperatures. We conducted a laboratory experiment to quantify skin microbiome and host responses (P. cinereus: n = 87) to Bd at mimicked epizootic loads across temperatures (13, 17 and 21°C). We quantified skin microbiomes using 16S rRNA gene metabarcoding and identified operational taxonomic units (OTUs) taxonomically similar to culturable bacteria known to kill Bd (anti-Bd OTUs). Prior to pathogen exposure, temperature changed the microbiome (OTU richness decreased by 12% and the abundance of anti-Bd OTUs increased by 18% per degree increase in temperature), but these changes were not predictive of disease outcome. After exposure, Bd changed the microbiome (OTU richness decreased by 0.1% and the abundance of anti-Bd OTUs increased by 0.2% per 1% increase in Bd load) and caused high host mortality across temperatures (35/45: 78%). Temperature indirectly impacted microbiome change and mortality through its direct effect on pathogen load. We did not find support for the microbiome impacting Bd load or host survival. Our research reveals complex host, pathogen, microbiome and environmental interactions to demonstrate that during epizootic events the microbiome will be unlikely to reduce pathogen invasion, even for putatively Bd-resistant species.","container-title":"Molecular Ecology","DOI":"10.1111/mec.15122","ISSN":"1365-294X","issue":"11","journalAbbreviation":"Mol Ecol","language":"eng","page":"2917-2931","PMID":"31066947","source":"PubMed","title":"Fungal disease and temperature alter skin microbiome structure in an experimental salamander system","volume":"28","author":[{"family":"Muletz-Wolz","given":"Carly R."},{"family":"Fleischer","given":"Robert C."},{"family":"Lips","given":"Karen R."}],"issued":{"date-parts":[["2019",6]]}}}],"schema":"https://github.com/citation-style-language/schema/raw/master/csl-citation.json"} </w:instrText>
      </w:r>
      <w:r w:rsidR="7EC1B78C" w:rsidRPr="06B95239">
        <w:rPr>
          <w:rFonts w:asciiTheme="minorHAnsi" w:hAnsiTheme="minorHAnsi" w:cstheme="minorBidi"/>
          <w:noProof/>
          <w:sz w:val="22"/>
          <w:szCs w:val="22"/>
        </w:rPr>
        <w:fldChar w:fldCharType="separate"/>
      </w:r>
      <w:r w:rsidRPr="06B95239">
        <w:rPr>
          <w:rFonts w:ascii="Calibri" w:eastAsiaTheme="minorEastAsia" w:hAnsiTheme="minorHAnsi" w:cs="Calibri"/>
          <w:sz w:val="22"/>
          <w:szCs w:val="22"/>
        </w:rPr>
        <w:t>(25,76–79)</w:t>
      </w:r>
      <w:r w:rsidR="7EC1B78C" w:rsidRPr="06B95239">
        <w:rPr>
          <w:rFonts w:asciiTheme="minorHAnsi" w:hAnsiTheme="minorHAnsi" w:cstheme="minorBidi"/>
          <w:noProof/>
          <w:sz w:val="22"/>
          <w:szCs w:val="22"/>
        </w:rPr>
        <w:fldChar w:fldCharType="end"/>
      </w:r>
      <w:r w:rsidRPr="06B95239">
        <w:rPr>
          <w:rFonts w:asciiTheme="minorHAnsi" w:hAnsiTheme="minorHAnsi" w:cstheme="minorBidi"/>
          <w:noProof/>
          <w:sz w:val="22"/>
          <w:szCs w:val="22"/>
        </w:rPr>
        <w:t xml:space="preserve">. It is well established that husbandry conditions may be associated with skin microbiomes </w:t>
      </w:r>
      <w:r w:rsidR="7EC1B78C" w:rsidRPr="06B95239">
        <w:rPr>
          <w:rFonts w:asciiTheme="minorHAnsi" w:hAnsiTheme="minorHAnsi" w:cstheme="minorBidi"/>
          <w:noProof/>
          <w:sz w:val="22"/>
          <w:szCs w:val="22"/>
        </w:rPr>
        <w:fldChar w:fldCharType="begin"/>
      </w:r>
      <w:r w:rsidR="7EC1B78C" w:rsidRPr="06B95239">
        <w:rPr>
          <w:rFonts w:asciiTheme="minorHAnsi" w:hAnsiTheme="minorHAnsi" w:cstheme="minorBidi"/>
          <w:noProof/>
          <w:sz w:val="22"/>
          <w:szCs w:val="22"/>
        </w:rPr>
        <w:instrText xml:space="preserve"> ADDIN ZOTERO_ITEM CSL_CITATION {"citationID":"jDNtldkB","properties":{"unsorted":false,"formattedCitation":"(80)","plainCitation":"(80)","noteIndex":0},"citationItems":[{"id":5923,"uris":["http://zotero.org/users/8183159/items/7CR8SNNV"],"itemData":{"id":5923,"type":"article-journal","container-title":"Biological Conservation","DOI":"10.1016/J.BIOCON.2022.109576","ISSN":"00063207","page":"109576","title":"Effects of captivity and rewilding on amphibian skin microbiomes","volume":"271","author":[{"family":"Kueneman","given":"Jordan"},{"family":"Bletz","given":"Molly"},{"family":"Becker","given":"Matthew"},{"family":"Gratwicke","given":"Brian"},{"family":"Garcés","given":"Orlando A."},{"family":"Hertz","given":"Andreas"},{"family":"Holden","given":"Whitney M."},{"family":"Ibáñez","given":"Roberto"},{"family":"Loudon","given":"Andrew"},{"family":"McKenzie","given":"Valerie"},{"family":"Parfrey","given":"Laura"},{"family":"Sheafor","given":"Brandon"},{"family":"Rollins-Smith","given":"Louise A."},{"family":"Richards-Zawacki","given":"Corinne"},{"family":"Voyles","given":"Jamie"},{"family":"Woodhams","given":"Douglas C."}],"issued":{"date-parts":[["2022",7]]}}}],"schema":"https://github.com/citation-style-language/schema/raw/master/csl-citation.json"} </w:instrText>
      </w:r>
      <w:r w:rsidR="7EC1B78C" w:rsidRPr="06B95239">
        <w:rPr>
          <w:rFonts w:asciiTheme="minorHAnsi" w:hAnsiTheme="minorHAnsi" w:cstheme="minorBidi"/>
          <w:noProof/>
          <w:sz w:val="22"/>
          <w:szCs w:val="22"/>
        </w:rPr>
        <w:fldChar w:fldCharType="separate"/>
      </w:r>
      <w:r w:rsidRPr="06B95239">
        <w:rPr>
          <w:rFonts w:asciiTheme="minorHAnsi" w:hAnsiTheme="minorHAnsi" w:cstheme="minorBidi"/>
          <w:noProof/>
          <w:sz w:val="22"/>
          <w:szCs w:val="22"/>
        </w:rPr>
        <w:t>(80)</w:t>
      </w:r>
      <w:r w:rsidR="7EC1B78C" w:rsidRPr="06B95239">
        <w:rPr>
          <w:rFonts w:asciiTheme="minorHAnsi" w:hAnsiTheme="minorHAnsi" w:cstheme="minorBidi"/>
          <w:noProof/>
          <w:sz w:val="22"/>
          <w:szCs w:val="22"/>
        </w:rPr>
        <w:fldChar w:fldCharType="end"/>
      </w:r>
      <w:r w:rsidRPr="06B95239">
        <w:rPr>
          <w:rFonts w:asciiTheme="minorHAnsi" w:hAnsiTheme="minorHAnsi" w:cstheme="minorBidi"/>
          <w:noProof/>
          <w:sz w:val="22"/>
          <w:szCs w:val="22"/>
        </w:rPr>
        <w:t xml:space="preserve"> and the experimental setups with not natural substrates would limit new environmental colonization of the skin that would be experienced in nature. Nonetheless our experimental design allowed effective comparisons between treatment groups at different time points.  In our experiment, we found that Bd infection and clearance led to </w:t>
      </w:r>
      <w:r w:rsidRPr="06B95239">
        <w:rPr>
          <w:rFonts w:asciiTheme="minorHAnsi" w:hAnsiTheme="minorHAnsi" w:cstheme="minorBidi"/>
          <w:i/>
          <w:iCs/>
          <w:noProof/>
          <w:sz w:val="22"/>
          <w:szCs w:val="22"/>
        </w:rPr>
        <w:t>A. glyphus</w:t>
      </w:r>
      <w:r w:rsidRPr="06B95239">
        <w:rPr>
          <w:rFonts w:asciiTheme="minorHAnsi" w:hAnsiTheme="minorHAnsi" w:cstheme="minorBidi"/>
          <w:noProof/>
          <w:sz w:val="22"/>
          <w:szCs w:val="22"/>
        </w:rPr>
        <w:t xml:space="preserve"> having greater relative abundance of anti-Bd bacteria than Bd-naïve animals, but we found no effect on bacterial richness. This would suggest that Bd infection does not appear to be causing a loss of bacterial taxa, but instead shifting the relative abundances of particular bacterial taxa, including putative anti-Bd bacteria. Anti-Bd bacteria were identified by 100% sequence homology to a database of culturable bacteria known to kill Bd in culture, and are presumed to serve similar functional roles on the skin. However, notably, we observed no protective effect by the increase in the relative abundance of these putative anti-Bd bacteria; all animals exposed to Bd at Bd treatment 2 died from infection regardless of their skin anti-Bd bacterial composition. Following </w:t>
      </w:r>
      <w:r w:rsidRPr="06B95239">
        <w:rPr>
          <w:rFonts w:asciiTheme="minorHAnsi" w:hAnsiTheme="minorHAnsi" w:cstheme="minorBidi"/>
          <w:noProof/>
          <w:sz w:val="22"/>
          <w:szCs w:val="22"/>
        </w:rPr>
        <w:lastRenderedPageBreak/>
        <w:t xml:space="preserve">clearance, these bacteria may have persisted as better competitors and/or because they can withstand the changes to the skin immunity and physiology (such as keratinocyte destruction) experienced during Bd infections or they may have increased in abundance only after infection clearance. We do not have a baseline microbiome composition for wild </w:t>
      </w:r>
      <w:r w:rsidRPr="00DA67FC">
        <w:rPr>
          <w:rFonts w:asciiTheme="minorHAnsi" w:hAnsiTheme="minorHAnsi" w:cstheme="minorBidi"/>
          <w:i/>
          <w:iCs/>
          <w:noProof/>
          <w:sz w:val="22"/>
          <w:szCs w:val="22"/>
        </w:rPr>
        <w:t>Atelopus glyphus</w:t>
      </w:r>
      <w:r w:rsidRPr="06B95239">
        <w:rPr>
          <w:rFonts w:asciiTheme="minorHAnsi" w:hAnsiTheme="minorHAnsi" w:cstheme="minorBidi"/>
          <w:noProof/>
          <w:sz w:val="22"/>
          <w:szCs w:val="22"/>
        </w:rPr>
        <w:t xml:space="preserve">, but Becker et al found that captive </w:t>
      </w:r>
      <w:r w:rsidRPr="00DA67FC">
        <w:rPr>
          <w:rFonts w:asciiTheme="minorHAnsi" w:hAnsiTheme="minorHAnsi" w:cstheme="minorBidi"/>
          <w:i/>
          <w:iCs/>
          <w:noProof/>
          <w:sz w:val="22"/>
          <w:szCs w:val="22"/>
        </w:rPr>
        <w:t>Atelopus zeteki</w:t>
      </w:r>
      <w:r w:rsidRPr="06B95239">
        <w:rPr>
          <w:rFonts w:asciiTheme="minorHAnsi" w:hAnsiTheme="minorHAnsi" w:cstheme="minorBidi"/>
          <w:noProof/>
          <w:sz w:val="22"/>
          <w:szCs w:val="22"/>
        </w:rPr>
        <w:t xml:space="preserve"> shared 70% of their microbiome with wild frogs </w:t>
      </w:r>
      <w:r w:rsidR="7EC1B78C" w:rsidRPr="06B95239">
        <w:rPr>
          <w:rFonts w:asciiTheme="minorHAnsi" w:hAnsiTheme="minorHAnsi" w:cstheme="minorBidi"/>
          <w:noProof/>
          <w:sz w:val="22"/>
          <w:szCs w:val="22"/>
        </w:rPr>
        <w:fldChar w:fldCharType="begin"/>
      </w:r>
      <w:r w:rsidR="7EC1B78C" w:rsidRPr="06B95239">
        <w:rPr>
          <w:rFonts w:asciiTheme="minorHAnsi" w:hAnsiTheme="minorHAnsi" w:cstheme="minorBidi"/>
          <w:noProof/>
          <w:sz w:val="22"/>
          <w:szCs w:val="22"/>
        </w:rPr>
        <w:instrText xml:space="preserve"> ADDIN ZOTERO_ITEM CSL_CITATION {"citationID":"b63oMz7W","properties":{"unsorted":false,"formattedCitation":"(81)","plainCitation":"(81)","noteIndex":0},"citationItems":[{"id":5220,"uris":["http://zotero.org/users/8183159/items/RD52EMB9"],"itemData":{"id":5220,"type":"article-journal","abstract":"For many threatened vertebrates, captivity may be the only option for species survival. Maintaining species in captivity prior to reintroduction presents many challenges, including the need to preserve genetic diversity and mitigation of disease risks. Recent studies suggest that captivity can alter the suite of symbiotic microbes that play important roles in host health. The Panamanian golden frog ( Atelopus zeteki) has not been seen in its native habitat in Panamá since 2009. Along with habitat loss and illegal collecting, the lethal disease chytridiomycosis, caused by the fungal pathogen Batrachochytrium dendrobatidis (Bd), is responsible for the severe decline of this species. Prior to the spread of Bd into golden frog habitat, conservation organizations collected golden frogs and placed them in captive survival assurance colonies. The skin of amphibians is host to a diverse resident bacterial community, which acts as a defense mechanism in some amphibians to inhibit pathogens. We characterized the cutaneous bacterial community from wild and F1 captive golden frogs originating from the same population with Illumina sequencing to assess how long-term captivity has affected this community. We found that species richness, phylogenetic diversity, and community structure of the skin microbiota was significantly different between wild and captive golden frogs. However, after approximately eight years of living in captivity, the offspring of the original captive golden frogs still shared 70% of their microbial community with wild frogs. These results demonstrate that host-associated microbial communities can be significantly altered by captive management, but most of the community composition can be preserved. © 2014 Elsevier Ltd.","citation-key":"Becker2014","container-title":"Biological Conservation","DOI":"10.1016/j.biocon.2014.05.029","ISSN":"00063207","note":"ISBN: 00063207","page":"199-206","publisher":"Elsevier Ltd","title":"The effect of captivity on the cutaneous bacterial community of the critically endangered Panamanian golden frog (&lt;i&gt;Atelopus zeteki&lt;/i&gt;)","volume":"176","author":[{"family":"Becker","given":"Matthew H."},{"family":"Richards-Zawacki","given":"Corinne L."},{"family":"Gratwicke","given":"Brian"},{"family":"Belden","given":"Lisa K."}],"issued":{"date-parts":[["2014"]]}}}],"schema":"https://github.com/citation-style-language/schema/raw/master/csl-citation.json"} </w:instrText>
      </w:r>
      <w:r w:rsidR="7EC1B78C" w:rsidRPr="06B95239">
        <w:rPr>
          <w:rFonts w:asciiTheme="minorHAnsi" w:hAnsiTheme="minorHAnsi" w:cstheme="minorBidi"/>
          <w:noProof/>
          <w:sz w:val="22"/>
          <w:szCs w:val="22"/>
        </w:rPr>
        <w:fldChar w:fldCharType="separate"/>
      </w:r>
      <w:r w:rsidRPr="06B95239">
        <w:rPr>
          <w:rFonts w:asciiTheme="minorHAnsi" w:hAnsiTheme="minorHAnsi" w:cstheme="minorBidi"/>
          <w:noProof/>
          <w:sz w:val="22"/>
          <w:szCs w:val="22"/>
        </w:rPr>
        <w:t>(81)</w:t>
      </w:r>
      <w:r w:rsidR="7EC1B78C" w:rsidRPr="06B95239">
        <w:rPr>
          <w:rFonts w:asciiTheme="minorHAnsi" w:hAnsiTheme="minorHAnsi" w:cstheme="minorBidi"/>
          <w:noProof/>
          <w:sz w:val="22"/>
          <w:szCs w:val="22"/>
        </w:rPr>
        <w:fldChar w:fldCharType="end"/>
      </w:r>
      <w:r w:rsidRPr="06B95239">
        <w:rPr>
          <w:rFonts w:asciiTheme="minorHAnsi" w:hAnsiTheme="minorHAnsi" w:cstheme="minorBidi"/>
          <w:noProof/>
          <w:sz w:val="22"/>
          <w:szCs w:val="22"/>
        </w:rPr>
        <w:t xml:space="preserve"> and anti-Bd bacteria in </w:t>
      </w:r>
      <w:r w:rsidRPr="00DA67FC">
        <w:rPr>
          <w:rFonts w:asciiTheme="minorHAnsi" w:hAnsiTheme="minorHAnsi" w:cstheme="minorBidi"/>
          <w:i/>
          <w:iCs/>
          <w:noProof/>
          <w:sz w:val="22"/>
          <w:szCs w:val="22"/>
        </w:rPr>
        <w:t>Atelo</w:t>
      </w:r>
      <w:r w:rsidRPr="06B95239">
        <w:rPr>
          <w:rFonts w:asciiTheme="minorHAnsi" w:hAnsiTheme="minorHAnsi" w:cstheme="minorBidi"/>
          <w:i/>
          <w:iCs/>
          <w:noProof/>
          <w:sz w:val="22"/>
          <w:szCs w:val="22"/>
        </w:rPr>
        <w:t>p</w:t>
      </w:r>
      <w:r w:rsidRPr="00DA67FC">
        <w:rPr>
          <w:rFonts w:asciiTheme="minorHAnsi" w:hAnsiTheme="minorHAnsi" w:cstheme="minorBidi"/>
          <w:i/>
          <w:iCs/>
          <w:noProof/>
          <w:sz w:val="22"/>
          <w:szCs w:val="22"/>
        </w:rPr>
        <w:t>us varius</w:t>
      </w:r>
      <w:r w:rsidRPr="06B95239">
        <w:rPr>
          <w:rFonts w:asciiTheme="minorHAnsi" w:hAnsiTheme="minorHAnsi" w:cstheme="minorBidi"/>
          <w:noProof/>
          <w:sz w:val="22"/>
          <w:szCs w:val="22"/>
        </w:rPr>
        <w:t xml:space="preserve"> increased from 40% to 60% of the community after 80 days in wild conditions </w:t>
      </w:r>
      <w:r w:rsidR="7EC1B78C" w:rsidRPr="06B95239">
        <w:rPr>
          <w:rFonts w:asciiTheme="minorHAnsi" w:hAnsiTheme="minorHAnsi" w:cstheme="minorBidi"/>
          <w:noProof/>
          <w:sz w:val="22"/>
          <w:szCs w:val="22"/>
        </w:rPr>
        <w:fldChar w:fldCharType="begin"/>
      </w:r>
      <w:r w:rsidR="7EC1B78C" w:rsidRPr="06B95239">
        <w:rPr>
          <w:rFonts w:asciiTheme="minorHAnsi" w:hAnsiTheme="minorHAnsi" w:cstheme="minorBidi"/>
          <w:noProof/>
          <w:sz w:val="22"/>
          <w:szCs w:val="22"/>
        </w:rPr>
        <w:instrText xml:space="preserve"> ADDIN ZOTERO_ITEM CSL_CITATION {"citationID":"hku7ybVK","properties":{"unsorted":false,"formattedCitation":"(80,82)","plainCitation":"(80,82)","noteIndex":0},"citationItems":[{"id":5923,"uris":["http://zotero.org/users/8183159/items/7CR8SNNV"],"itemData":{"id":5923,"type":"article-journal","container-title":"Biological Conservation","DOI":"10.1016/J.BIOCON.2022.109576","ISSN":"00063207","page":"109576","title":"Effects of captivity and rewilding on amphibian skin microbiomes","volume":"271","author":[{"family":"Kueneman","given":"Jordan"},{"family":"Bletz","given":"Molly"},{"family":"Becker","given":"Matthew"},{"family":"Gratwicke","given":"Brian"},{"family":"Garcés","given":"Orlando A."},{"family":"Hertz","given":"Andreas"},{"family":"Holden","given":"Whitney M."},{"family":"Ibáñez","given":"Roberto"},{"family":"Loudon","given":"Andrew"},{"family":"McKenzie","given":"Valerie"},{"family":"Parfrey","given":"Laura"},{"family":"Sheafor","given":"Brandon"},{"family":"Rollins-Smith","given":"Louise A."},{"family":"Richards-Zawacki","given":"Corinne"},{"family":"Voyles","given":"Jamie"},{"family":"Woodhams","given":"Douglas C."}],"issued":{"date-parts":[["2022",7]]}}},{"id":3699,"uris":["http://zotero.org/users/8183159/items/QCEKE8TE"],"itemData":{"id":3699,"type":"article-journal","abstract":"Abstract\n            \n              Variable harlequin frogs\n              Atelopus varius\n              have declined significantly throughout their range as a result of infection with the fungal pathogen\n              Batrachochytrium dendrobatidis\n              (Bd). The Panama Amphibian Rescue and Conservation Project maintains an ex situ population of this Critically Endangered species. We conducted a release trial with surplus captive-bred\n              A. varius\n              individuals to improve our ability to monitor frog populations post-release, observe dispersal patterns after freeing them into the wild and learn about threats to released frogs, as well as to determine whether natural skin toxin defences of frogs could be restored inside mesocosms in the wild and to compare Bd dynamics in natural amphibian communities at the release site vs a non-release site. The 458 released frogs dispersed rapidly and were difficult to re-encounter unless they carried a radio transmitter. No frog was seen after 36 days following release. Thirty frogs were fitted with radio transmitters and only half were trackable by day 10. Tetrodotoxin was not detected in the skins of the frogs inside mesocosms for up to 79 days. Bd loads in other species present at sites were high prior to release and decreased over time in a pattern probably driven by weather. No differences were observed in Bd prevalence between the release and non-release sites. This trial showed that refinements of our methods and approaches are required to study captive\n              Atelopus\n              frogs released into wild conditions. We recommend continuing release trials of captive-bred frogs with post-release monitoring methods, using an adaptive management framework to advance the field of amphibian reintroduction ecology.","container-title":"Oryx","DOI":"10.1017/S0030605323001254","ISSN":"0030-6053, 1365-3008","journalAbbreviation":"Oryx","language":"en","page":"1-13","source":"DOI.org (Crossref)","title":"Release trial of captive-bred variable harlequin frogs &lt;i&gt;Atelopus varius&lt;/i&gt; shows that frogs disperse rapidly, are difficult to recapture and do not readily regain skin toxicity","author":[{"family":"Klocke","given":"Blake"},{"family":"Garcés","given":"Orlando"},{"family":"Lassiter","given":"Elliot"},{"family":"Guerrel","given":"Jorge"},{"family":"Hertz","given":"Andreas"},{"family":"Illueca","given":"Estefany"},{"family":"Klaphake","given":"Eric"},{"family":"Linhoff","given":"Luke"},{"family":"Minbiole","given":"Kevin"},{"family":"Ross","given":"Heidi"},{"family":"Tasca","given":"Julia A."},{"family":"Woodhams","given":"Douglas C."},{"family":"Gratwicke","given":"Brian"},{"family":"Ibáñez","given":"Roberto"}],"issued":{"date-parts":[["2023",12,13]]}}}],"schema":"https://github.com/citation-style-language/schema/raw/master/csl-citation.json"} </w:instrText>
      </w:r>
      <w:r w:rsidR="7EC1B78C" w:rsidRPr="06B95239">
        <w:rPr>
          <w:rFonts w:asciiTheme="minorHAnsi" w:hAnsiTheme="minorHAnsi" w:cstheme="minorBidi"/>
          <w:noProof/>
          <w:sz w:val="22"/>
          <w:szCs w:val="22"/>
        </w:rPr>
        <w:fldChar w:fldCharType="separate"/>
      </w:r>
      <w:r w:rsidRPr="06B95239">
        <w:rPr>
          <w:rFonts w:asciiTheme="minorHAnsi" w:hAnsiTheme="minorHAnsi" w:cstheme="minorBidi"/>
          <w:noProof/>
          <w:sz w:val="22"/>
          <w:szCs w:val="22"/>
        </w:rPr>
        <w:t>(80,82)</w:t>
      </w:r>
      <w:r w:rsidR="7EC1B78C" w:rsidRPr="06B95239">
        <w:rPr>
          <w:rFonts w:asciiTheme="minorHAnsi" w:hAnsiTheme="minorHAnsi" w:cstheme="minorBidi"/>
          <w:noProof/>
          <w:sz w:val="22"/>
          <w:szCs w:val="22"/>
        </w:rPr>
        <w:fldChar w:fldCharType="end"/>
      </w:r>
      <w:r w:rsidRPr="06B95239">
        <w:rPr>
          <w:rFonts w:asciiTheme="minorHAnsi" w:hAnsiTheme="minorHAnsi" w:cstheme="minorBidi"/>
          <w:noProof/>
          <w:sz w:val="22"/>
          <w:szCs w:val="22"/>
        </w:rPr>
        <w:t xml:space="preserve">. This was confounded by the effects of wild vs captive conditions and Bd exposure, so this captive study sheds further light on the direct interaction between Bd and the microbiome.  </w:t>
      </w:r>
    </w:p>
    <w:p w14:paraId="73DC1D74" w14:textId="77777777" w:rsidR="004A329E" w:rsidRDefault="004A329E" w:rsidP="004A329E">
      <w:pPr>
        <w:spacing w:line="480" w:lineRule="auto"/>
        <w:rPr>
          <w:rFonts w:asciiTheme="minorHAnsi" w:hAnsiTheme="minorHAnsi" w:cstheme="minorBidi"/>
          <w:noProof/>
          <w:sz w:val="22"/>
          <w:szCs w:val="22"/>
        </w:rPr>
      </w:pPr>
    </w:p>
    <w:p w14:paraId="1D9FA9D2" w14:textId="6A82F9BD" w:rsidR="008D245E" w:rsidRDefault="7EC1B78C" w:rsidP="004A329E">
      <w:pPr>
        <w:spacing w:line="480" w:lineRule="auto"/>
        <w:rPr>
          <w:rFonts w:asciiTheme="minorHAnsi" w:hAnsiTheme="minorHAnsi" w:cstheme="minorBidi"/>
          <w:noProof/>
          <w:sz w:val="22"/>
          <w:szCs w:val="22"/>
        </w:rPr>
      </w:pPr>
      <w:r w:rsidRPr="7EC1B78C">
        <w:rPr>
          <w:rFonts w:asciiTheme="minorHAnsi" w:hAnsiTheme="minorHAnsi" w:cstheme="minorBidi"/>
          <w:noProof/>
          <w:sz w:val="22"/>
          <w:szCs w:val="22"/>
        </w:rPr>
        <w:t>Since mucosal barrier microbiomes and resident immune components are highly interconnected across vertebrates, it is likely that the altered microbiomes of the prior infected animals contributed to the observed changes in immune gene expression and how those immune cells/components responded to Bd re-infection</w:t>
      </w:r>
      <w:r w:rsidR="000F11A1">
        <w:rPr>
          <w:rFonts w:asciiTheme="minorHAnsi" w:hAnsiTheme="minorHAnsi" w:cstheme="minorBidi"/>
          <w:noProof/>
          <w:sz w:val="22"/>
          <w:szCs w:val="22"/>
        </w:rPr>
        <w:t xml:space="preserve"> </w:t>
      </w:r>
      <w:r w:rsidR="000F11A1">
        <w:rPr>
          <w:rFonts w:asciiTheme="minorHAnsi" w:hAnsiTheme="minorHAnsi" w:cstheme="minorBidi"/>
          <w:noProof/>
          <w:sz w:val="22"/>
          <w:szCs w:val="22"/>
        </w:rPr>
        <w:fldChar w:fldCharType="begin"/>
      </w:r>
      <w:r w:rsidR="00B449D3">
        <w:rPr>
          <w:rFonts w:asciiTheme="minorHAnsi" w:hAnsiTheme="minorHAnsi" w:cstheme="minorBidi"/>
          <w:noProof/>
          <w:sz w:val="22"/>
          <w:szCs w:val="22"/>
        </w:rPr>
        <w:instrText xml:space="preserve"> ADDIN ZOTERO_ITEM CSL_CITATION {"citationID":"9hyt9Erv","properties":{"formattedCitation":"(83)","plainCitation":"(83)","noteIndex":0},"citationItems":[{"id":18753,"uris":["http://zotero.org/groups/6008588/items/DYIXQAZU"],"itemData":{"id":18753,"type":"article-journal","abstract":"Probiotic therapies have been suggested for amelioration efforts of wildlife disease such as chytridiomycosis caused by Batrachochytrium spp. in amphibians. However, there is a lack of information on how probiotic application affects resident microbial communities and immune responses. To better understand these interactions, we hypothesized that probiotic application would alter microbial community compo sition and host immune expression in Xenopus laevis. Accordingly, we applied three amphibian-derived and anti-Batrachochytrium bacteria strains (two Pseudomonas spp. and one Stenotrophomonas sp.) to X. laevis in monoculture and also as a cocktail. We quantified microbial community structure using 16S rRNA gene sequencing. We also quantified genes involved in X. laevis immune responses using quantitative reverse transcriptase polymerase chain reaction (RT-qPCR) and skin transcriptomics over 1 and 3-week periods. All probiotic treatments successfully colonized X. laevis skin for 3 weeks, but with differential amplicon sequence variant (ASV) sequence counts over time. Bacterial community and immune gene effects were most pronounced at week 1 post-probiotic exposure and decreased thereafter. All probiotic treatments caused initial changes to bacterial community alpha and beta diversity, including reduction in diversity from pre-exposure anti-Batrachochytrium bacterial ASV relative abundance. Probiotic colonization by Pseudomonas probiotic strain RSB5.4 reduced expression of regulatory T cell marker (FOXP3, measured with RT-qPCR) and caused the greatest gene expres sion changes detected by transcriptomics. Single bacterial strains and mixed cultures, therefore, altered amphibian microbiome-immune interactions. This work will help to improve our understanding of the role of the microbiome-immune interface underlying both disease dynamics and emergent eco-evolutionary processes.","container-title":"Infection and Immunity","DOI":"10.1128/iai.00569-24","ISSN":"0019-9567, 1098-5522","issue":"5","journalAbbreviation":"Infect Immun","language":"en","page":"e00569-24","source":"DOI.org (Crossref)","title":"Probiotic colonization of &lt;i&gt;Xenopus laevis&lt;/i&gt; skin causes short-term changes in skin microbiomes and gene expression","volume":"93","author":[{"family":"Madison","given":"Joseph D."},{"family":"Osborne","given":"Owen G."},{"family":"Ellison","given":"Amy"},{"family":"Garvey Griffith","given":"Christina N."},{"family":"Gentry","given":"Lindsey"},{"family":"Gross","given":"Harald"},{"family":"Gratwicke","given":"Brian"},{"family":"Grayfer","given":"Leon"},{"family":"Muletz-Wolz","given":"Carly R."}],"editor":[{"family":"Raffatellu","given":"Manuela"}],"issued":{"date-parts":[["2025",5,13]]}}}],"schema":"https://github.com/citation-style-language/schema/raw/master/csl-citation.json"} </w:instrText>
      </w:r>
      <w:r w:rsidR="000F11A1">
        <w:rPr>
          <w:rFonts w:asciiTheme="minorHAnsi" w:hAnsiTheme="minorHAnsi" w:cstheme="minorBidi"/>
          <w:noProof/>
          <w:sz w:val="22"/>
          <w:szCs w:val="22"/>
        </w:rPr>
        <w:fldChar w:fldCharType="separate"/>
      </w:r>
      <w:r w:rsidR="00B449D3">
        <w:rPr>
          <w:rFonts w:asciiTheme="minorHAnsi" w:hAnsiTheme="minorHAnsi" w:cstheme="minorBidi"/>
          <w:noProof/>
          <w:sz w:val="22"/>
          <w:szCs w:val="22"/>
        </w:rPr>
        <w:t>(83)</w:t>
      </w:r>
      <w:r w:rsidR="000F11A1">
        <w:rPr>
          <w:rFonts w:asciiTheme="minorHAnsi" w:hAnsiTheme="minorHAnsi" w:cstheme="minorBidi"/>
          <w:noProof/>
          <w:sz w:val="22"/>
          <w:szCs w:val="22"/>
        </w:rPr>
        <w:fldChar w:fldCharType="end"/>
      </w:r>
      <w:r w:rsidRPr="7EC1B78C">
        <w:rPr>
          <w:rFonts w:asciiTheme="minorHAnsi" w:hAnsiTheme="minorHAnsi" w:cstheme="minorBidi"/>
          <w:noProof/>
          <w:sz w:val="22"/>
          <w:szCs w:val="22"/>
        </w:rPr>
        <w:t>. Conversely, the observed changes to the skin immune genes of prior infected frogs may likewise be driving and promoting the maintenance of certain bacterial taxa over others</w:t>
      </w:r>
      <w:r w:rsidR="000F11A1">
        <w:rPr>
          <w:rFonts w:asciiTheme="minorHAnsi" w:hAnsiTheme="minorHAnsi" w:cstheme="minorBidi"/>
          <w:noProof/>
          <w:sz w:val="22"/>
          <w:szCs w:val="22"/>
        </w:rPr>
        <w:t xml:space="preserve"> </w:t>
      </w:r>
      <w:r w:rsidR="000F11A1">
        <w:rPr>
          <w:rFonts w:asciiTheme="minorHAnsi" w:hAnsiTheme="minorHAnsi" w:cstheme="minorBidi"/>
          <w:noProof/>
          <w:sz w:val="22"/>
          <w:szCs w:val="22"/>
        </w:rPr>
        <w:fldChar w:fldCharType="begin"/>
      </w:r>
      <w:r w:rsidR="00B449D3">
        <w:rPr>
          <w:rFonts w:asciiTheme="minorHAnsi" w:hAnsiTheme="minorHAnsi" w:cstheme="minorBidi"/>
          <w:noProof/>
          <w:sz w:val="22"/>
          <w:szCs w:val="22"/>
        </w:rPr>
        <w:instrText xml:space="preserve"> ADDIN ZOTERO_ITEM CSL_CITATION {"citationID":"vbwJz7jc","properties":{"formattedCitation":"(84)","plainCitation":"(84)","noteIndex":0},"citationItems":[{"id":19585,"uris":["http://zotero.org/groups/6008588/items/A8U27AIJ"],"itemData":{"id":19585,"type":"article-journal","abstract":"Global amphibian declines are compounded by deadly disease outbreaks caused by the chytrid fungus, Batrachochytrium dendrobatidis (Bd). Much has been learned about the roles of amphibian skin-produced antimicrobial components and microbiomes in controlling Bd, yet almost nothing is known about the roles of skin-resident immune cells in anti-Bd defenses. Mammalian mast cells reside within and serve as key immune sentinels in barrier tissues like skin. Accordingly, we investigated the roles of Xenopus laevis frog mast cells during Bd infections. Our findings indicate that enrichment of X. laevis skin mast cells confers anti-Bd protection and ameliorates the inflammation-associated skin damage caused by Bd infection. This includes a significant reduction in infiltration of Bd-infected skin by neutrophils, promoting mucin content within cutaneous mucus glands, and preventing Bd-mediated changes to skin microbiomes. Mammalian mast cells are known for their production of the pleiotropic interleukin-4 (IL4) cytokine and our findings suggest that the X. laevis IL4 plays a key role in manifesting the effects seen following cutaneous mast cell enrichment. Together, this work underscores the importance of amphibian skin-resident immune cells in anti-Bd defenses and illuminates a novel avenue for investigating amphibian host–chytrid pathogen interactions.","container-title":"eLife","DOI":"10.7554/eLife.92168","ISSN":"2050-084X","page":"RP92168","publisher":"eLife Sciences Publications, Ltd","source":"eLife","title":"Amphibian mast cells serve as barriers to chytrid fungus infections","volume":"12","author":[{"family":"Hauser","given":"Kelsey A"},{"family":"Garvey","given":"Christina N"},{"family":"Crow","given":"Ryley S"},{"family":"Hossainey","given":"Muhammad RH"},{"family":"Howard","given":"Dustin T"},{"family":"Ranganathan","given":"Netra"},{"family":"Gentry","given":"Lindsey K"},{"family":"Yaparla","given":"Amulya"},{"family":"Kalia","given":"Namarta"},{"family":"Zelle","given":"Mira"},{"family":"Jones","given":"Elizabeth J"},{"family":"Duttargi","given":"Anju N"},{"family":"Rollins-Smith","given":"Louise A"},{"family":"Muletz-Wolz","given":"Carly R"},{"family":"Grayfer","given":"Leon"}],"editor":[{"family":"Kim","given":"Brian S"},{"family":"Rath","given":"Satyajit"}],"issued":{"date-parts":[["2024",7,31]]}}}],"schema":"https://github.com/citation-style-language/schema/raw/master/csl-citation.json"} </w:instrText>
      </w:r>
      <w:r w:rsidR="000F11A1">
        <w:rPr>
          <w:rFonts w:asciiTheme="minorHAnsi" w:hAnsiTheme="minorHAnsi" w:cstheme="minorBidi"/>
          <w:noProof/>
          <w:sz w:val="22"/>
          <w:szCs w:val="22"/>
        </w:rPr>
        <w:fldChar w:fldCharType="separate"/>
      </w:r>
      <w:r w:rsidR="00B449D3">
        <w:rPr>
          <w:rFonts w:asciiTheme="minorHAnsi" w:hAnsiTheme="minorHAnsi" w:cstheme="minorBidi"/>
          <w:noProof/>
          <w:sz w:val="22"/>
          <w:szCs w:val="22"/>
        </w:rPr>
        <w:t>(84)</w:t>
      </w:r>
      <w:r w:rsidR="000F11A1">
        <w:rPr>
          <w:rFonts w:asciiTheme="minorHAnsi" w:hAnsiTheme="minorHAnsi" w:cstheme="minorBidi"/>
          <w:noProof/>
          <w:sz w:val="22"/>
          <w:szCs w:val="22"/>
        </w:rPr>
        <w:fldChar w:fldCharType="end"/>
      </w:r>
      <w:r w:rsidRPr="7EC1B78C">
        <w:rPr>
          <w:rFonts w:asciiTheme="minorHAnsi" w:hAnsiTheme="minorHAnsi" w:cstheme="minorBidi"/>
          <w:noProof/>
          <w:sz w:val="22"/>
          <w:szCs w:val="22"/>
        </w:rPr>
        <w:t xml:space="preserve">. Our gene-microbe network analysis supports this hypothesis, with a small number of bacterial ASVs accounting for a large proportion of significant host–microbe associations, whereas most taxa were linked to only one or a few genes (Fig. 7).  It is equally notable that two weeks following re-infection, the microbiomes of re-infected animals (Bd-Bd) no longer possessed greater relative </w:t>
      </w:r>
      <w:r w:rsidR="00641C53">
        <w:rPr>
          <w:rFonts w:asciiTheme="minorHAnsi" w:hAnsiTheme="minorHAnsi" w:cstheme="minorBidi"/>
          <w:noProof/>
          <w:sz w:val="22"/>
          <w:szCs w:val="22"/>
        </w:rPr>
        <w:t>abundance</w:t>
      </w:r>
      <w:r w:rsidRPr="7EC1B78C">
        <w:rPr>
          <w:rFonts w:asciiTheme="minorHAnsi" w:hAnsiTheme="minorHAnsi" w:cstheme="minorBidi"/>
          <w:noProof/>
          <w:sz w:val="22"/>
          <w:szCs w:val="22"/>
        </w:rPr>
        <w:t xml:space="preserve"> of anti-Bd bacteria, and actually had significantly diminshed numbers of these bacteria </w:t>
      </w:r>
      <w:r w:rsidR="008F75E9">
        <w:rPr>
          <w:rFonts w:asciiTheme="minorHAnsi" w:hAnsiTheme="minorHAnsi" w:cstheme="minorBidi"/>
          <w:noProof/>
          <w:sz w:val="22"/>
          <w:szCs w:val="22"/>
        </w:rPr>
        <w:t>after</w:t>
      </w:r>
      <w:r w:rsidRPr="7EC1B78C">
        <w:rPr>
          <w:rFonts w:asciiTheme="minorHAnsi" w:hAnsiTheme="minorHAnsi" w:cstheme="minorBidi"/>
          <w:noProof/>
          <w:sz w:val="22"/>
          <w:szCs w:val="22"/>
        </w:rPr>
        <w:t xml:space="preserve"> 29 d of re-infection. Presumably, this stems at least in part from changes to the skin immune cell composition and activation states. In turn, this begs the question of the extent to which these ‘inhibitory’ taxa truly prevent Bd colonization </w:t>
      </w:r>
      <w:r w:rsidRPr="7EC1B78C">
        <w:rPr>
          <w:rFonts w:asciiTheme="minorHAnsi" w:hAnsiTheme="minorHAnsi" w:cstheme="minorBidi"/>
          <w:i/>
          <w:iCs/>
          <w:noProof/>
          <w:sz w:val="22"/>
          <w:szCs w:val="22"/>
        </w:rPr>
        <w:t xml:space="preserve">in vivo </w:t>
      </w:r>
      <w:r w:rsidRPr="7EC1B78C">
        <w:rPr>
          <w:rFonts w:asciiTheme="minorHAnsi" w:hAnsiTheme="minorHAnsi" w:cstheme="minorBidi"/>
          <w:noProof/>
          <w:sz w:val="22"/>
          <w:szCs w:val="22"/>
        </w:rPr>
        <w:t xml:space="preserve">as opposed to being selected for by fungal infection. </w:t>
      </w:r>
      <w:r w:rsidR="00046868">
        <w:rPr>
          <w:rFonts w:asciiTheme="minorHAnsi" w:hAnsiTheme="minorHAnsi" w:cstheme="minorBidi"/>
          <w:noProof/>
          <w:sz w:val="22"/>
          <w:szCs w:val="22"/>
        </w:rPr>
        <w:t xml:space="preserve">Other studies have found no relationship between disease load and antiBd bacteria richness </w:t>
      </w:r>
      <w:r w:rsidR="00046868">
        <w:rPr>
          <w:rFonts w:asciiTheme="minorHAnsi" w:hAnsiTheme="minorHAnsi" w:cstheme="minorBidi"/>
          <w:noProof/>
          <w:sz w:val="22"/>
          <w:szCs w:val="22"/>
        </w:rPr>
        <w:fldChar w:fldCharType="begin"/>
      </w:r>
      <w:r w:rsidR="006159DD">
        <w:rPr>
          <w:rFonts w:asciiTheme="minorHAnsi" w:hAnsiTheme="minorHAnsi" w:cstheme="minorBidi"/>
          <w:noProof/>
          <w:sz w:val="22"/>
          <w:szCs w:val="22"/>
        </w:rPr>
        <w:instrText xml:space="preserve"> ADDIN ZOTERO_ITEM CSL_CITATION {"citationID":"Ws6kpais","properties":{"formattedCitation":"(14)","plainCitation":"(14)","noteIndex":0},"citationItems":[{"id":"jhYPt1yk/9p2WlWcM","uris":["http://zotero.org/groups/6008588/items/XZMBMNGB"],"itemData":{"id":18566,"type":"article-journal","container-title":"Royal Society Open Science","DOI":"10.1098/rsos.220810","ISSN":"2054-5703","issue":"2","note":"publisher: The Royal Society","title":"Immune priming prior to pathogen exposure sheds light on the relationship between host, microbiome and pathogen in disease","URL":"http://dx.doi.org/10.1098/rsos.220810","volume":"10","author":[{"family":"Kaganer","given":"Alyssa W."},{"family":"Ossiboff","given":"Robert J."},{"family":"Keith","given":"Nicole I."},{"family":"Schuler","given":"Krysten L."},{"family":"Comizzoli","given":"Pierre"},{"family":"Hare","given":"Matthew P."},{"family":"Fleischer","given":"Robert C."},{"family":"Gratwicke","given":"Brian"},{"family":"Bunting","given":"Elizabeth M."}],"issued":{"date-parts":[["2023",2]]}}}],"schema":"https://github.com/citation-style-language/schema/raw/master/csl-citation.json"} </w:instrText>
      </w:r>
      <w:r w:rsidR="00046868">
        <w:rPr>
          <w:rFonts w:asciiTheme="minorHAnsi" w:hAnsiTheme="minorHAnsi" w:cstheme="minorBidi"/>
          <w:noProof/>
          <w:sz w:val="22"/>
          <w:szCs w:val="22"/>
        </w:rPr>
        <w:fldChar w:fldCharType="separate"/>
      </w:r>
      <w:r w:rsidR="00C91241">
        <w:rPr>
          <w:rFonts w:asciiTheme="minorHAnsi" w:hAnsiTheme="minorHAnsi" w:cstheme="minorBidi"/>
          <w:noProof/>
          <w:sz w:val="22"/>
          <w:szCs w:val="22"/>
        </w:rPr>
        <w:t>(14)</w:t>
      </w:r>
      <w:r w:rsidR="00046868">
        <w:rPr>
          <w:rFonts w:asciiTheme="minorHAnsi" w:hAnsiTheme="minorHAnsi" w:cstheme="minorBidi"/>
          <w:noProof/>
          <w:sz w:val="22"/>
          <w:szCs w:val="22"/>
        </w:rPr>
        <w:fldChar w:fldCharType="end"/>
      </w:r>
      <w:r w:rsidR="00046868">
        <w:rPr>
          <w:rFonts w:asciiTheme="minorHAnsi" w:hAnsiTheme="minorHAnsi" w:cstheme="minorBidi"/>
          <w:noProof/>
          <w:sz w:val="22"/>
          <w:szCs w:val="22"/>
        </w:rPr>
        <w:t xml:space="preserve">. </w:t>
      </w:r>
      <w:r w:rsidRPr="7EC1B78C">
        <w:rPr>
          <w:rFonts w:asciiTheme="minorHAnsi" w:hAnsiTheme="minorHAnsi" w:cstheme="minorBidi"/>
          <w:noProof/>
          <w:sz w:val="22"/>
          <w:szCs w:val="22"/>
        </w:rPr>
        <w:t xml:space="preserve">Since we used relative abundance, it is unclear if the number of anti-Bd bacteria remained constant while the number of bacterial cells </w:t>
      </w:r>
      <w:r w:rsidRPr="7EC1B78C">
        <w:rPr>
          <w:rFonts w:asciiTheme="minorHAnsi" w:hAnsiTheme="minorHAnsi" w:cstheme="minorBidi"/>
          <w:noProof/>
          <w:sz w:val="22"/>
          <w:szCs w:val="22"/>
        </w:rPr>
        <w:lastRenderedPageBreak/>
        <w:t xml:space="preserve">increased on infected animal skin or if anti-Bd bacterial cells decreased. Using interal spike-ins or qPCR of 16S rRNA counts to determine absolute abundance in microbiome studies will allow for future studies to determine the biological processes occuring in observed changes of anti-Bd bacteria </w:t>
      </w:r>
      <w:r w:rsidR="00B759BF">
        <w:rPr>
          <w:rFonts w:asciiTheme="minorHAnsi" w:hAnsiTheme="minorHAnsi" w:cstheme="minorBidi"/>
          <w:noProof/>
          <w:sz w:val="22"/>
          <w:szCs w:val="22"/>
        </w:rPr>
        <w:fldChar w:fldCharType="begin"/>
      </w:r>
      <w:r w:rsidR="00B449D3">
        <w:rPr>
          <w:rFonts w:asciiTheme="minorHAnsi" w:hAnsiTheme="minorHAnsi" w:cstheme="minorBidi"/>
          <w:noProof/>
          <w:sz w:val="22"/>
          <w:szCs w:val="22"/>
        </w:rPr>
        <w:instrText xml:space="preserve"> ADDIN ZOTERO_ITEM CSL_CITATION {"citationID":"eNd6SW95","properties":{"formattedCitation":"(85,86)","plainCitation":"(85,86)","noteIndex":0},"citationItems":[{"id":19595,"uris":["http://zotero.org/groups/6008588/items/955FM4Z7"],"itemData":{"id":19595,"type":"article-journal","abstract":"High-throughput, multiplexed-amplicon sequencing has become a core tool for understanding environmental microbiomes. As researchers have widely adopted sequencing, many open-source analysis pipelines have been developed to compare microbiomes using compositional analysis frameworks. However, there is increasing evidence that compositional analyses do not provide the information necessary to accurately interpret many community assembly processes. This is especially true when there are large gradients that drive distinct community assembly processes. Recently, sequencing has been combined with Q-PCR (among other sources of total quantitation) to generate “Quantitative Sequencing” (QSeq) data. QSeq more accurately estimates the true abundance of taxa, is a more reliable basis for inferring correlation, and, ultimately, can be more reliably related to environmental data to infer community assembly processes. In this paper, we use a combination of published data sets, synthesis, and empirical modeling to offer guidance for which contexts QSeq is advantageous. As little as 5% variation in total abundance among experimental groups resulted in more accurate inference by QSeq than compositional methods. Compositional methods for differential abundance and correlation unreliably detected patterns in abundance and covariance when there was greater than 20% variation in total abundance among experimental groups. Whether QSeq performs better for beta diversity analysis depends on the question being asked, and the analytic strategy (e.g., what distance metric is being used); for many questions and methods, QSeq and compositional analysis are equivalent for beta diversity analysis. QSeq is especially useful for taxon-specific analysis; QSeq transformation and analysis should be the default for answering taxon-specific questions of amplicon sequence data. Publicly available bioinformatics pipelines should incorporate support for QSeq transformation and analysis.","container-title":"Microbial Ecology","DOI":"10.1007/s00248-023-02273-z","ISSN":"0095-3628, 1432-184X","issue":"4","journalAbbreviation":"Microb Ecol","language":"en","page":"2790-2801","source":"DOI.org (Crossref)","title":"Quantitative Amplicon Sequencing Is Necessary to Identify Differential Taxa and Correlated Taxa Where Population Sizes Differ","volume":"86","author":[{"family":"Epp Schmidt","given":"Dietrich"},{"family":"Maul","given":"Jude E."},{"family":"Yarwood","given":"Stephanie A."}],"issued":{"date-parts":[["2023",11]]}}},{"id":19587,"uris":["http://zotero.org/users/8183159/items/5JZJDJW8"],"itemData":{"id":19587,"type":"article-journal","abstract":"The host microbiome is integral to metabolism, immune function, and pathogen resistance. Yet, reliance on relative abundance in microbiome studies introduces compositional biases that obscure ecological interpretation, while the absence of robust tools for absolute abundance quantification has limited biological discovery. Here, we apply absolute abundance profiling to uncover host-specific microbial patterns across herpetofauna orders that are masked in relative abundance data. Relative- and absolute abundance-derived bacterial and fungal microbiomes exhibit divergent profiles shaped by compositional bias and multifactorial effects. Absolute abundance identified key genera, Lactococcus, Parabacteroides, and Cetobacterium in salamanders, and Basidiobolus and Mortierella in lizards, turtles, snakes, and tortoises, that consistently emerged as core taxa, revealing host-associated patterns previously obscured by compositional constraints. In closely related Desmognathus species, where environmental and phylogenetic variation was minimized, absolute abundance enabled finer resolution of microbiome dynamics and significantly reduced false discovery rates. Absolute abundance-based network analyses further revealed distinct keystone taxa between the relative and absolute abundance datasets. Despite low redundancy, Basidiobolus exhibited high network betweenness, efficiency, and degree, suggesting its role as a key connector between microbial modules and a contributor to overall network robustness. This predicted structural role aligns with Burt’s structural hole theory, which suggests that nodes linking otherwise disconnected modules occupy influential network positions. These findings underscore the value of absolute abundance in resolving microbial dynamics and supporting meaningful interpretation of host-microbiome associations. This advance is made possible by DspikeIn, a flexible wet-lab and computational framework that enhances ecological resolution and cross-study comparability.","container-title":"The ISME Journal","DOI":"10.1093/ismejo/wraf150","ISSN":"1751-7362","issue":"1","journalAbbreviation":"ISME J","page":"wraf150","source":"Silverchair","title":"Absolute abundance unveils Basidiobolus as a cross-domain bridge indirectly bolstering gut microbiome homeostasis","volume":"19","author":[{"family":"Ghotbi","given":"Mitra"},{"family":"Stajich","given":"Jason E"},{"family":"Dallas","given":"Jason W"},{"family":"Rurik","given":"Alexander J"},{"family":"Cummins","given":"Chloe"},{"family":"Vargas-Gastélum","given":"Lluvia"},{"family":"Ghotbi","given":"Marjan"},{"family":"Spatafora","given":"Joseph W"},{"family":"Kelly","given":"Kian"},{"family":"Alexander","given":"Nicholas Reed"},{"family":"Moe","given":"Kylie C"},{"family":"Syring","given":"Kimberly C"},{"family":"Shadmani","given":"Leila"},{"family":"Perez-Marron","given":"Julissa"},{"family":"Walker","given":"Donald M"}],"issued":{"date-parts":[["2025",1,2]]}}}],"schema":"https://github.com/citation-style-language/schema/raw/master/csl-citation.json"} </w:instrText>
      </w:r>
      <w:r w:rsidR="00B759BF">
        <w:rPr>
          <w:rFonts w:asciiTheme="minorHAnsi" w:hAnsiTheme="minorHAnsi" w:cstheme="minorBidi"/>
          <w:noProof/>
          <w:sz w:val="22"/>
          <w:szCs w:val="22"/>
        </w:rPr>
        <w:fldChar w:fldCharType="separate"/>
      </w:r>
      <w:r w:rsidR="00B449D3">
        <w:rPr>
          <w:rFonts w:asciiTheme="minorHAnsi" w:hAnsiTheme="minorHAnsi" w:cstheme="minorBidi"/>
          <w:noProof/>
          <w:sz w:val="22"/>
          <w:szCs w:val="22"/>
        </w:rPr>
        <w:t>(85,86)</w:t>
      </w:r>
      <w:r w:rsidR="00B759BF">
        <w:rPr>
          <w:rFonts w:asciiTheme="minorHAnsi" w:hAnsiTheme="minorHAnsi" w:cstheme="minorBidi"/>
          <w:noProof/>
          <w:sz w:val="22"/>
          <w:szCs w:val="22"/>
        </w:rPr>
        <w:fldChar w:fldCharType="end"/>
      </w:r>
      <w:r w:rsidR="00B759BF">
        <w:rPr>
          <w:rFonts w:asciiTheme="minorHAnsi" w:hAnsiTheme="minorHAnsi" w:cstheme="minorBidi"/>
          <w:noProof/>
          <w:sz w:val="22"/>
          <w:szCs w:val="22"/>
        </w:rPr>
        <w:t xml:space="preserve">. </w:t>
      </w:r>
      <w:r w:rsidRPr="7EC1B78C">
        <w:rPr>
          <w:rFonts w:asciiTheme="minorHAnsi" w:hAnsiTheme="minorHAnsi" w:cstheme="minorBidi"/>
          <w:noProof/>
          <w:sz w:val="22"/>
          <w:szCs w:val="22"/>
        </w:rPr>
        <w:t xml:space="preserve">It will be interesting to disintangle with future studies the precise effects of these microbial taxa on amphibian skin immune components and antifungal reponses. </w:t>
      </w:r>
    </w:p>
    <w:p w14:paraId="0F807FA0" w14:textId="77777777" w:rsidR="008D245E" w:rsidRDefault="008D245E" w:rsidP="008D245E">
      <w:pPr>
        <w:spacing w:line="480" w:lineRule="auto"/>
        <w:rPr>
          <w:rFonts w:asciiTheme="minorHAnsi" w:hAnsiTheme="minorHAnsi" w:cstheme="minorHAnsi"/>
          <w:noProof/>
          <w:sz w:val="22"/>
          <w:szCs w:val="22"/>
        </w:rPr>
      </w:pPr>
    </w:p>
    <w:p w14:paraId="4E67209A" w14:textId="4FF07F31" w:rsidR="008D245E" w:rsidRDefault="7EC1B78C" w:rsidP="4781E807">
      <w:pPr>
        <w:spacing w:line="480" w:lineRule="auto"/>
        <w:rPr>
          <w:rFonts w:asciiTheme="minorHAnsi" w:hAnsiTheme="minorHAnsi" w:cstheme="minorBidi"/>
          <w:noProof/>
          <w:sz w:val="22"/>
          <w:szCs w:val="22"/>
        </w:rPr>
      </w:pPr>
      <w:r w:rsidRPr="7EC1B78C">
        <w:rPr>
          <w:rFonts w:asciiTheme="minorHAnsi" w:hAnsiTheme="minorHAnsi" w:cstheme="minorBidi"/>
          <w:noProof/>
          <w:sz w:val="22"/>
          <w:szCs w:val="22"/>
        </w:rPr>
        <w:t>Other Bd studies found that host gene expression was closely tied to infection status and to shifts in microbiomes</w:t>
      </w:r>
      <w:r w:rsidR="00B759BF">
        <w:rPr>
          <w:rFonts w:asciiTheme="minorHAnsi" w:hAnsiTheme="minorHAnsi" w:cstheme="minorBidi"/>
          <w:noProof/>
          <w:sz w:val="22"/>
          <w:szCs w:val="22"/>
        </w:rPr>
        <w:t xml:space="preserve"> </w:t>
      </w:r>
      <w:r w:rsidR="00373BE9" w:rsidRPr="7EC1B78C">
        <w:rPr>
          <w:rFonts w:asciiTheme="minorHAnsi" w:hAnsiTheme="minorHAnsi" w:cstheme="minorBidi"/>
          <w:noProof/>
          <w:sz w:val="22"/>
          <w:szCs w:val="22"/>
        </w:rPr>
        <w:fldChar w:fldCharType="begin"/>
      </w:r>
      <w:r w:rsidR="00B449D3">
        <w:rPr>
          <w:rFonts w:asciiTheme="minorHAnsi" w:hAnsiTheme="minorHAnsi" w:cstheme="minorBidi"/>
          <w:noProof/>
          <w:sz w:val="22"/>
          <w:szCs w:val="22"/>
        </w:rPr>
        <w:instrText xml:space="preserve"> ADDIN ZOTERO_ITEM CSL_CITATION {"citationID":"kZRGavt0","properties":{"formattedCitation":"(87\\uc0\\u8211{}89)","plainCitation":"(87–89)","noteIndex":0},"citationItems":[{"id":18751,"uris":["http://zotero.org/groups/6008588/items/4IQZZGFV"],"itemData":{"id":18751,"type":"article-journal","abstract":"Ranaviruses are responsible for a lethal, emerging infectious disease in amphibians and threaten their populations throughout the world. Despite this, little is known about how amphibian populations respond to ranaviral infection. In the United Kingdom, ranaviruses impact the common frog (Rana temporaria). Extensive public engagement in the study of ranaviruses in the UK has led to the formation of a unique system of field sites containing frog populations of known ranaviral disease history. Within this unique natural field system, we used RNA sequencing (RNASeq) to compare the gene expression profiles of R. temporaria populations with a history of ranaviral disease and those without. We have applied a RNA read-filtering protocol that incorporates Bloom filters, previously used in clinical settings, to limit the potential for contamination that comes with the use of RNA-Seq in nonlaboratory systems. We have identified a suite of 407 transcripts that are differentially expressed between populations of different ranaviral disease history. This suite contains genes with functions related to immunity, development, protein transport and olfactory reception among others. A large proportion of potential noncoding RNA transcripts present in our differentially expressed set provide first evidence of a possible role for long noncoding RNA (lncRNA) in amphibian response to viruses. Our read-filtering approach also removed significantly more bacterial reads from libraries generated from positive disease history populations. Subsequent analysis revealed these bacterial read sets to represent distinct communities of bacterial species, which is suggestive of an interaction between ranavirus and the host microbiome in the wild.","container-title":"Molecular Ecology","DOI":"10.1111/mec.14528","ISSN":"0962-1083, 1365-294X","issue":"6","journalAbbreviation":"Molecular Ecology","language":"en","page":"1413-1427","source":"DOI.org (Crossref)","title":"A novel approach to wildlife transcriptomics provides evidence of disease‐mediated differential expression and changes to the microbiome of amphibian populations","volume":"27","author":[{"family":"Campbell","given":"Lewis J."},{"family":"Hammond","given":"Stewart A."},{"family":"Price","given":"Stephen J."},{"family":"Sharma","given":"Manmohan D."},{"family":"Garner","given":"Trenton W. J."},{"family":"Birol","given":"Inanc"},{"family":"Helbing","given":"Caren C."},{"family":"Wilfert","given":"Lena"},{"family":"Griffiths","given":"Amber G. F."}],"issued":{"date-parts":[["2018",3]]}}},{"id":5217,"uris":["http://zotero.org/users/8183159/items/DZWS8JB3"],"itemData":{"id":5217,"type":"article-journal","abstract":"Microbial communities can augment host immune responses and probiotic therapies are under development to prevent or treat diseases of humans, crops, livestock, and wildlife including an emerging fungal disease of amphibians, chytridiomycosis. However, little is known about the stability of host-associated microbiota, or how the microbiota is structured by innate immune factors including antimicrobial peptides (AMPs) abundant in the skin secretions of many amphibians. Thus, conservation medicine including therapies targeting the skin will benefit from investigations of amphibian microbial ecology that provide a model for vertebrate host-symbiont interactions on mucosal surfaces. Here, we tested whether the cutaneous microbiota of Panamanian rocket frogs, Colostethus panamansis, was resistant to colonization or altered by treatment. Under semi-natural outdoor mesocosm conditions in Panama, we exposed frogs to one of three treatments including: (1) probiotic - the potentially beneficial bacterium Lysinibacillus fusiformis, (2) transplant - skin washes from the chytridiomycosis-resistant glass frog Espadarana prosoblepon, and (3) control - sterile water. Microbial assemblages were analyzed by a culture-independent T-RFLP analysis. We found that skin microbiota of C. panamansis was resistant to colonization and did not differ among treatments, but shifted through time in the mesocosms. We describe regulation of host AMPs that may function to maintain microbial community stability. Colonization resistance was metabolically costly and microbe-treated frogs lost 7-12% of body mass. The discovery of strong colonization resistance of skin microbiota suggests a well-regulated, rather than dynamic, host-symbiont relationship, and suggests that probiotic therapies aiming to enhance host immunity may require an approach that circumvents host mechanisms maintaining equilibrium in microbial communities.","citation-key":"Kung2014","container-title":"PLoS ONE","DOI":"10.1371/journal.pone.0087101","ISSN":"1932-6203","issue":"1","note":"ISBN: 1932-6203","page":"e87101","PMID":"24489847","title":"Stability of Microbiota Facilitated by Host Immune Regulation: Informing Probiotic Strategies to Manage Amphibian Disease","volume":"9","author":[{"family":"Küng","given":"Denise"},{"family":"Bigler","given":"Laurent"},{"family":"Davis","given":"Leyla R."},{"family":"Gratwicke","given":"Brian"},{"family":"Griffith","given":"Edgardo"},{"family":"Woodhams","given":"D.C."},{"family":"Kung","given":"Denise"},{"family":"Bigler","given":"Laurent"},{"family":"Davis","given":"Leyla R."},{"family":"Gratwicke","given":"Brian"},{"family":"Griffith","given":"Edgardo"},{"family":"Woodhams","given":"D.C."}],"issued":{"date-parts":[["2014"]]}}},{"id":5591,"uris":["http://zotero.org/users/8183159/items/9CUL49X7"],"itemData":{"id":5591,"type":"article-journal","abstract":"Probiotics can ameliorate diseases of humans and wildlife, but the mechanisms remain unclear. Host responses to interventions that change their microbiota are largely uncharacterized. We applied a consortium of four natural antifungal bacteria to the skin of endangered Sierra Nevada yellow-legged frogs, Rana sierrae, before experimental exposure to the pathogenic fungus Batrachochytrium dendrobatidis (Bd). The probiotic microbes did not persist, nor did they protect hosts, and skin peptide sampling indicated immune modulation. We characterized a novel skin defense peptide brevinin-1Ma (FLPILAGLAANLVPKLICSITKKC) that was downregulated by the probiotic treatment. Brevinin-1Ma was tested against a range of amphibian skin cultures and found to inhibit growth of fungal pathogens Bd and B. salamandrivorans, but enhanced the growth of probiotic bacteria including Janthinobacterium lividum, Chryseobacterium ureilyticum, Serratia grimesii, and Pseudomonas sp. While commonly thought of as antimicrobial peptides, here brevinin-1Ma showed promicrobial function, facilitating microbial growth. Thus, skin exposure to probiotic bacterial cultures induced a shift in skin defense peptide profiles that appeared to act as an immune response functioning to regulate the microbiome. In addition to direct microbial antagonism, probiotic-host interactions may be a critical mechanism affecting disease resistance.","citation-key":"Woodhams2020","container-title":"Microbial Ecology","DOI":"10.1007/s00248-019-01385-9","ISSN":"1432184X","issue":"1","page":"192-202","publisher":"Springer","title":"Probiotics Modulate a Novel Amphibian Skin Defense Peptide That Is Antifungal and Facilitates Growth of Antifungal Bacteria","volume":"79","author":[{"family":"Woodhams","given":"Douglas C."},{"family":"Rollins-Smith","given":"Louise A."},{"family":"Reinert","given":"Laura K."},{"family":"Lam","given":"Briana A."},{"family":"Harris","given":"Reid N."},{"family":"Briggs","given":"Cheryl J."},{"family":"Vredenburg","given":"Vance T."},{"family":"Patel","given":"Bhumi T."},{"family":"Caprioli","given":"Richard M."},{"family":"Chaurand","given":"Pierre"},{"family":"Hunziker","given":"Peter"},{"family":"Bigler","given":"Laurent"}],"issued":{"date-parts":[["2020",1,1]]}}}],"schema":"https://github.com/citation-style-language/schema/raw/master/csl-citation.json"} </w:instrText>
      </w:r>
      <w:r w:rsidR="00373BE9" w:rsidRPr="7EC1B78C">
        <w:rPr>
          <w:rFonts w:asciiTheme="minorHAnsi" w:hAnsiTheme="minorHAnsi" w:cstheme="minorBidi"/>
          <w:noProof/>
          <w:sz w:val="22"/>
          <w:szCs w:val="22"/>
        </w:rPr>
        <w:fldChar w:fldCharType="separate"/>
      </w:r>
      <w:r w:rsidR="00B449D3" w:rsidRPr="00B449D3">
        <w:rPr>
          <w:rFonts w:ascii="Calibri" w:eastAsiaTheme="minorHAnsi" w:hAnsiTheme="minorHAnsi" w:cs="Calibri"/>
          <w:sz w:val="22"/>
        </w:rPr>
        <w:t>(87–89)</w:t>
      </w:r>
      <w:r w:rsidR="00373BE9" w:rsidRPr="7EC1B78C">
        <w:rPr>
          <w:rFonts w:asciiTheme="minorHAnsi" w:hAnsiTheme="minorHAnsi" w:cstheme="minorBidi"/>
          <w:noProof/>
          <w:sz w:val="22"/>
          <w:szCs w:val="22"/>
        </w:rPr>
        <w:fldChar w:fldCharType="end"/>
      </w:r>
      <w:r w:rsidR="00046868">
        <w:rPr>
          <w:rFonts w:asciiTheme="minorHAnsi" w:hAnsiTheme="minorHAnsi" w:cstheme="minorBidi"/>
          <w:noProof/>
          <w:sz w:val="22"/>
          <w:szCs w:val="22"/>
        </w:rPr>
        <w:t xml:space="preserve">, while a hellbender vaccination trial found that immune activation stimulated by exposure to killed Bd did not affect the microbiome </w:t>
      </w:r>
      <w:r w:rsidR="00046868">
        <w:rPr>
          <w:rFonts w:asciiTheme="minorHAnsi" w:hAnsiTheme="minorHAnsi" w:cstheme="minorBidi"/>
          <w:noProof/>
          <w:sz w:val="22"/>
          <w:szCs w:val="22"/>
        </w:rPr>
        <w:fldChar w:fldCharType="begin"/>
      </w:r>
      <w:r w:rsidR="006159DD">
        <w:rPr>
          <w:rFonts w:asciiTheme="minorHAnsi" w:hAnsiTheme="minorHAnsi" w:cstheme="minorBidi"/>
          <w:noProof/>
          <w:sz w:val="22"/>
          <w:szCs w:val="22"/>
        </w:rPr>
        <w:instrText xml:space="preserve"> ADDIN ZOTERO_ITEM CSL_CITATION {"citationID":"hQFddFGm","properties":{"formattedCitation":"(14)","plainCitation":"(14)","noteIndex":0},"citationItems":[{"id":"jhYPt1yk/9p2WlWcM","uris":["http://zotero.org/groups/6008588/items/XZMBMNGB"],"itemData":{"id":18566,"type":"article-journal","container-title":"Royal Society Open Science","DOI":"10.1098/rsos.220810","ISSN":"2054-5703","issue":"2","note":"publisher: The Royal Society","title":"Immune priming prior to pathogen exposure sheds light on the relationship between host, microbiome and pathogen in disease","URL":"http://dx.doi.org/10.1098/rsos.220810","volume":"10","author":[{"family":"Kaganer","given":"Alyssa W."},{"family":"Ossiboff","given":"Robert J."},{"family":"Keith","given":"Nicole I."},{"family":"Schuler","given":"Krysten L."},{"family":"Comizzoli","given":"Pierre"},{"family":"Hare","given":"Matthew P."},{"family":"Fleischer","given":"Robert C."},{"family":"Gratwicke","given":"Brian"},{"family":"Bunting","given":"Elizabeth M."}],"issued":{"date-parts":[["2023",2]]}}}],"schema":"https://github.com/citation-style-language/schema/raw/master/csl-citation.json"} </w:instrText>
      </w:r>
      <w:r w:rsidR="00046868">
        <w:rPr>
          <w:rFonts w:asciiTheme="minorHAnsi" w:hAnsiTheme="minorHAnsi" w:cstheme="minorBidi"/>
          <w:noProof/>
          <w:sz w:val="22"/>
          <w:szCs w:val="22"/>
        </w:rPr>
        <w:fldChar w:fldCharType="separate"/>
      </w:r>
      <w:r w:rsidR="00C91241">
        <w:rPr>
          <w:rFonts w:asciiTheme="minorHAnsi" w:hAnsiTheme="minorHAnsi" w:cstheme="minorBidi"/>
          <w:noProof/>
          <w:sz w:val="22"/>
          <w:szCs w:val="22"/>
        </w:rPr>
        <w:t>(14)</w:t>
      </w:r>
      <w:r w:rsidR="00046868">
        <w:rPr>
          <w:rFonts w:asciiTheme="minorHAnsi" w:hAnsiTheme="minorHAnsi" w:cstheme="minorBidi"/>
          <w:noProof/>
          <w:sz w:val="22"/>
          <w:szCs w:val="22"/>
        </w:rPr>
        <w:fldChar w:fldCharType="end"/>
      </w:r>
      <w:r w:rsidRPr="7EC1B78C">
        <w:rPr>
          <w:rFonts w:asciiTheme="minorHAnsi" w:hAnsiTheme="minorHAnsi" w:cstheme="minorBidi"/>
          <w:noProof/>
          <w:sz w:val="22"/>
          <w:szCs w:val="22"/>
        </w:rPr>
        <w:t xml:space="preserve">. It is difficult to disentangle the direct effects of the pathogen on the skin bacteria composition versus the the indirect effects of host gene expression causing changes in the skin that may be altering skin secretions or mucus composition that, in turn may create a different environment for skin bacteria growth </w:t>
      </w:r>
      <w:r w:rsidR="00373BE9" w:rsidRPr="7EC1B78C">
        <w:rPr>
          <w:rFonts w:asciiTheme="minorHAnsi" w:hAnsiTheme="minorHAnsi" w:cstheme="minorBidi"/>
          <w:noProof/>
          <w:sz w:val="22"/>
          <w:szCs w:val="22"/>
        </w:rPr>
        <w:fldChar w:fldCharType="begin"/>
      </w:r>
      <w:r w:rsidR="00B449D3">
        <w:rPr>
          <w:rFonts w:asciiTheme="minorHAnsi" w:hAnsiTheme="minorHAnsi" w:cstheme="minorBidi"/>
          <w:noProof/>
          <w:sz w:val="22"/>
          <w:szCs w:val="22"/>
        </w:rPr>
        <w:instrText xml:space="preserve"> ADDIN ZOTERO_ITEM CSL_CITATION {"citationID":"4VPqpIug","properties":{"formattedCitation":"(87,88)","plainCitation":"(87,88)","noteIndex":0},"citationItems":[{"id":18751,"uris":["http://zotero.org/groups/6008588/items/4IQZZGFV"],"itemData":{"id":18751,"type":"article-journal","abstract":"Ranaviruses are responsible for a lethal, emerging infectious disease in amphibians and threaten their populations throughout the world. Despite this, little is known about how amphibian populations respond to ranaviral infection. In the United Kingdom, ranaviruses impact the common frog (Rana temporaria). Extensive public engagement in the study of ranaviruses in the UK has led to the formation of a unique system of field sites containing frog populations of known ranaviral disease history. Within this unique natural field system, we used RNA sequencing (RNASeq) to compare the gene expression profiles of R. temporaria populations with a history of ranaviral disease and those without. We have applied a RNA read-filtering protocol that incorporates Bloom filters, previously used in clinical settings, to limit the potential for contamination that comes with the use of RNA-Seq in nonlaboratory systems. We have identified a suite of 407 transcripts that are differentially expressed between populations of different ranaviral disease history. This suite contains genes with functions related to immunity, development, protein transport and olfactory reception among others. A large proportion of potential noncoding RNA transcripts present in our differentially expressed set provide first evidence of a possible role for long noncoding RNA (lncRNA) in amphibian response to viruses. Our read-filtering approach also removed significantly more bacterial reads from libraries generated from positive disease history populations. Subsequent analysis revealed these bacterial read sets to represent distinct communities of bacterial species, which is suggestive of an interaction between ranavirus and the host microbiome in the wild.","container-title":"Molecular Ecology","DOI":"10.1111/mec.14528","ISSN":"0962-1083, 1365-294X","issue":"6","journalAbbreviation":"Molecular Ecology","language":"en","page":"1413-1427","source":"DOI.org (Crossref)","title":"A novel approach to wildlife transcriptomics provides evidence of disease‐mediated differential expression and changes to the microbiome of amphibian populations","volume":"27","author":[{"family":"Campbell","given":"Lewis J."},{"family":"Hammond","given":"Stewart A."},{"family":"Price","given":"Stephen J."},{"family":"Sharma","given":"Manmohan D."},{"family":"Garner","given":"Trenton W. J."},{"family":"Birol","given":"Inanc"},{"family":"Helbing","given":"Caren C."},{"family":"Wilfert","given":"Lena"},{"family":"Griffiths","given":"Amber G. F."}],"issued":{"date-parts":[["2018",3]]}}},{"id":5217,"uris":["http://zotero.org/users/8183159/items/DZWS8JB3"],"itemData":{"id":5217,"type":"article-journal","abstract":"Microbial communities can augment host immune responses and probiotic therapies are under development to prevent or treat diseases of humans, crops, livestock, and wildlife including an emerging fungal disease of amphibians, chytridiomycosis. However, little is known about the stability of host-associated microbiota, or how the microbiota is structured by innate immune factors including antimicrobial peptides (AMPs) abundant in the skin secretions of many amphibians. Thus, conservation medicine including therapies targeting the skin will benefit from investigations of amphibian microbial ecology that provide a model for vertebrate host-symbiont interactions on mucosal surfaces. Here, we tested whether the cutaneous microbiota of Panamanian rocket frogs, Colostethus panamansis, was resistant to colonization or altered by treatment. Under semi-natural outdoor mesocosm conditions in Panama, we exposed frogs to one of three treatments including: (1) probiotic - the potentially beneficial bacterium Lysinibacillus fusiformis, (2) transplant - skin washes from the chytridiomycosis-resistant glass frog Espadarana prosoblepon, and (3) control - sterile water. Microbial assemblages were analyzed by a culture-independent T-RFLP analysis. We found that skin microbiota of C. panamansis was resistant to colonization and did not differ among treatments, but shifted through time in the mesocosms. We describe regulation of host AMPs that may function to maintain microbial community stability. Colonization resistance was metabolically costly and microbe-treated frogs lost 7-12% of body mass. The discovery of strong colonization resistance of skin microbiota suggests a well-regulated, rather than dynamic, host-symbiont relationship, and suggests that probiotic therapies aiming to enhance host immunity may require an approach that circumvents host mechanisms maintaining equilibrium in microbial communities.","citation-key":"Kung2014","container-title":"PLoS ONE","DOI":"10.1371/journal.pone.0087101","ISSN":"1932-6203","issue":"1","note":"ISBN: 1932-6203","page":"e87101","PMID":"24489847","title":"Stability of Microbiota Facilitated by Host Immune Regulation: Informing Probiotic Strategies to Manage Amphibian Disease","volume":"9","author":[{"family":"Küng","given":"Denise"},{"family":"Bigler","given":"Laurent"},{"family":"Davis","given":"Leyla R."},{"family":"Gratwicke","given":"Brian"},{"family":"Griffith","given":"Edgardo"},{"family":"Woodhams","given":"D.C."},{"family":"Kung","given":"Denise"},{"family":"Bigler","given":"Laurent"},{"family":"Davis","given":"Leyla R."},{"family":"Gratwicke","given":"Brian"},{"family":"Griffith","given":"Edgardo"},{"family":"Woodhams","given":"D.C."}],"issued":{"date-parts":[["2014"]]}}}],"schema":"https://github.com/citation-style-language/schema/raw/master/csl-citation.json"} </w:instrText>
      </w:r>
      <w:r w:rsidR="00373BE9" w:rsidRPr="7EC1B78C">
        <w:rPr>
          <w:rFonts w:asciiTheme="minorHAnsi" w:hAnsiTheme="minorHAnsi" w:cstheme="minorBidi"/>
          <w:noProof/>
          <w:sz w:val="22"/>
          <w:szCs w:val="22"/>
        </w:rPr>
        <w:fldChar w:fldCharType="separate"/>
      </w:r>
      <w:r w:rsidR="00B449D3">
        <w:rPr>
          <w:rFonts w:asciiTheme="minorHAnsi" w:hAnsiTheme="minorHAnsi" w:cstheme="minorBidi"/>
          <w:noProof/>
          <w:sz w:val="22"/>
          <w:szCs w:val="22"/>
        </w:rPr>
        <w:t>(87,88)</w:t>
      </w:r>
      <w:r w:rsidR="00373BE9" w:rsidRPr="7EC1B78C">
        <w:rPr>
          <w:rFonts w:asciiTheme="minorHAnsi" w:hAnsiTheme="minorHAnsi" w:cstheme="minorBidi"/>
          <w:noProof/>
          <w:sz w:val="22"/>
          <w:szCs w:val="22"/>
        </w:rPr>
        <w:fldChar w:fldCharType="end"/>
      </w:r>
      <w:r w:rsidRPr="7EC1B78C">
        <w:rPr>
          <w:rFonts w:asciiTheme="minorHAnsi" w:hAnsiTheme="minorHAnsi" w:cstheme="minorBidi"/>
          <w:noProof/>
          <w:sz w:val="22"/>
          <w:szCs w:val="22"/>
        </w:rPr>
        <w:t xml:space="preserve">. Furthermore, the amphibian skin microbiome itself can alter host gene expression without pathogen exposure </w:t>
      </w:r>
      <w:r w:rsidR="00373BE9" w:rsidRPr="7EC1B78C">
        <w:rPr>
          <w:rFonts w:asciiTheme="minorHAnsi" w:hAnsiTheme="minorHAnsi" w:cstheme="minorBidi"/>
          <w:noProof/>
          <w:sz w:val="22"/>
          <w:szCs w:val="22"/>
        </w:rPr>
        <w:fldChar w:fldCharType="begin"/>
      </w:r>
      <w:r w:rsidR="00B449D3">
        <w:rPr>
          <w:rFonts w:asciiTheme="minorHAnsi" w:hAnsiTheme="minorHAnsi" w:cstheme="minorBidi"/>
          <w:noProof/>
          <w:sz w:val="22"/>
          <w:szCs w:val="22"/>
        </w:rPr>
        <w:instrText xml:space="preserve"> ADDIN ZOTERO_ITEM CSL_CITATION {"citationID":"G6TvNRyO","properties":{"formattedCitation":"(83)","plainCitation":"(83)","noteIndex":0},"citationItems":[{"id":18753,"uris":["http://zotero.org/groups/6008588/items/DYIXQAZU"],"itemData":{"id":18753,"type":"article-journal","abstract":"Probiotic therapies have been suggested for amelioration efforts of wildlife disease such as chytridiomycosis caused by Batrachochytrium spp. in amphibians. However, there is a lack of information on how probiotic application affects resident microbial communities and immune responses. To better understand these interactions, we hypothesized that probiotic application would alter microbial community compo sition and host immune expression in Xenopus laevis. Accordingly, we applied three amphibian-derived and anti-Batrachochytrium bacteria strains (two Pseudomonas spp. and one Stenotrophomonas sp.) to X. laevis in monoculture and also as a cocktail. We quantified microbial community structure using 16S rRNA gene sequencing. We also quantified genes involved in X. laevis immune responses using quantitative reverse transcriptase polymerase chain reaction (RT-qPCR) and skin transcriptomics over 1 and 3-week periods. All probiotic treatments successfully colonized X. laevis skin for 3 weeks, but with differential amplicon sequence variant (ASV) sequence counts over time. Bacterial community and immune gene effects were most pronounced at week 1 post-probiotic exposure and decreased thereafter. All probiotic treatments caused initial changes to bacterial community alpha and beta diversity, including reduction in diversity from pre-exposure anti-Batrachochytrium bacterial ASV relative abundance. Probiotic colonization by Pseudomonas probiotic strain RSB5.4 reduced expression of regulatory T cell marker (FOXP3, measured with RT-qPCR) and caused the greatest gene expres sion changes detected by transcriptomics. Single bacterial strains and mixed cultures, therefore, altered amphibian microbiome-immune interactions. This work will help to improve our understanding of the role of the microbiome-immune interface underlying both disease dynamics and emergent eco-evolutionary processes.","container-title":"Infection and Immunity","DOI":"10.1128/iai.00569-24","ISSN":"0019-9567, 1098-5522","issue":"5","journalAbbreviation":"Infect Immun","language":"en","page":"e00569-24","source":"DOI.org (Crossref)","title":"Probiotic colonization of &lt;i&gt;Xenopus laevis&lt;/i&gt; skin causes short-term changes in skin microbiomes and gene expression","volume":"93","author":[{"family":"Madison","given":"Joseph D."},{"family":"Osborne","given":"Owen G."},{"family":"Ellison","given":"Amy"},{"family":"Garvey Griffith","given":"Christina N."},{"family":"Gentry","given":"Lindsey"},{"family":"Gross","given":"Harald"},{"family":"Gratwicke","given":"Brian"},{"family":"Grayfer","given":"Leon"},{"family":"Muletz-Wolz","given":"Carly R."}],"editor":[{"family":"Raffatellu","given":"Manuela"}],"issued":{"date-parts":[["2025",5,13]]}}}],"schema":"https://github.com/citation-style-language/schema/raw/master/csl-citation.json"} </w:instrText>
      </w:r>
      <w:r w:rsidR="00373BE9" w:rsidRPr="7EC1B78C">
        <w:rPr>
          <w:rFonts w:asciiTheme="minorHAnsi" w:hAnsiTheme="minorHAnsi" w:cstheme="minorBidi"/>
          <w:noProof/>
          <w:sz w:val="22"/>
          <w:szCs w:val="22"/>
        </w:rPr>
        <w:fldChar w:fldCharType="separate"/>
      </w:r>
      <w:r w:rsidR="00B449D3">
        <w:rPr>
          <w:rFonts w:asciiTheme="minorHAnsi" w:hAnsiTheme="minorHAnsi" w:cstheme="minorBidi"/>
          <w:noProof/>
          <w:sz w:val="22"/>
          <w:szCs w:val="22"/>
        </w:rPr>
        <w:t>(83)</w:t>
      </w:r>
      <w:r w:rsidR="00373BE9" w:rsidRPr="7EC1B78C">
        <w:rPr>
          <w:rFonts w:asciiTheme="minorHAnsi" w:hAnsiTheme="minorHAnsi" w:cstheme="minorBidi"/>
          <w:noProof/>
          <w:sz w:val="22"/>
          <w:szCs w:val="22"/>
        </w:rPr>
        <w:fldChar w:fldCharType="end"/>
      </w:r>
      <w:r w:rsidRPr="7EC1B78C">
        <w:rPr>
          <w:rFonts w:asciiTheme="minorHAnsi" w:hAnsiTheme="minorHAnsi" w:cstheme="minorBidi"/>
          <w:noProof/>
          <w:sz w:val="22"/>
          <w:szCs w:val="22"/>
        </w:rPr>
        <w:t xml:space="preserve">. We now know that observed bacterial signatures previously interpreted as markers of Bd resistance e.g. </w:t>
      </w:r>
      <w:r w:rsidR="00373BE9" w:rsidRPr="7EC1B78C">
        <w:rPr>
          <w:rFonts w:asciiTheme="minorHAnsi" w:hAnsiTheme="minorHAnsi" w:cstheme="minorBidi"/>
          <w:noProof/>
          <w:sz w:val="22"/>
          <w:szCs w:val="22"/>
        </w:rPr>
        <w:fldChar w:fldCharType="begin"/>
      </w:r>
      <w:r w:rsidR="006159DD">
        <w:rPr>
          <w:rFonts w:asciiTheme="minorHAnsi" w:hAnsiTheme="minorHAnsi" w:cstheme="minorBidi"/>
          <w:noProof/>
          <w:sz w:val="22"/>
          <w:szCs w:val="22"/>
        </w:rPr>
        <w:instrText xml:space="preserve"> ADDIN ZOTERO_ITEM CSL_CITATION {"citationID":"UYTbOSmJ","properties":{"formattedCitation":"(12)","plainCitation":"(12)","noteIndex":0},"citationItems":[{"id":5770,"uris":["http://zotero.org/users/8183159/items/8HE2SDKQ"],"itemData":{"id":5770,"type":"article-journal","abstract":"Symbiotic microbes can dramatically impact host health and fitness, and recent research in a diversity of systems suggests that different symbiont community structures may result in distinct outcomes for the host. In amphibians, some symbiotic skin bacteria produce metabolites that inhibit the growth of Batrachochytrium dendrobatidis (Bd), a cutaneous fungal pathogen that has caused many amphibian population declines and extinctions. Treatment with beneficial bacteria (probiotics) prevents Bd infection in some amphibian species and creates optimism for conservation of species that are highly susceptible to chytridiomycosis, the disease caused by Bd. In a laboratory experiment, we used Bd-inhibitory bacteria from Bd-tolerant Panamanian amphibians in a probiotic development trial with Panamanian golden frogs, Atelopus zeteki, a species currently surviving only in captive assurance colonies. Approximately 30% of infected golden frogs survived Bd exposure by either clearing infection or maintaining low Bd loads, but this was not associated with probiotic treatment. Survival was instead related to initial composition of the skin bacterial community and metabolites present on the skin. These results suggest a strong link between the structure of these symbiotic microbial communities and amphibian host health in the face of Bd exposure and also suggest a new approach for developing amphibian probiotics. © 2015 The Author(s) Published by the Royal Society. All rights reserved.","citation-key":"Becker2015","container-title":"Proceedings of the Royal Society B","DOI":"10.1098/rspb.2014.2881","ISSN":"09628452 (ISSN)","issue":"1805","note":"ISBN: 0962-8452","page":"20142881","PMID":"25788591","title":"Composition of symbiotic bacteria predicts survival in Panamanian golden frogs infected with a lethal fungus","volume":"282","author":[{"family":"Becker","given":"Matthew H."},{"family":"Walke","given":"Jenifer B."},{"family":"Cikanek","given":"Shawna"},{"family":"Savage","given":"Anna E."},{"family":"Mattheus","given":"Nichole"},{"family":"Santiago","given":"Celina N."},{"family":"Minbiole","given":"Kevin P. C."},{"family":"Harris","given":"Reid N."},{"family":"Belden","given":"Lisa K."},{"family":"Gratwicke","given":"Brian"}],"issued":{"date-parts":[["2015"]]}}}],"schema":"https://github.com/citation-style-language/schema/raw/master/csl-citation.json"} </w:instrText>
      </w:r>
      <w:r w:rsidR="00373BE9" w:rsidRPr="7EC1B78C">
        <w:rPr>
          <w:rFonts w:asciiTheme="minorHAnsi" w:hAnsiTheme="minorHAnsi" w:cstheme="minorBidi"/>
          <w:noProof/>
          <w:sz w:val="22"/>
          <w:szCs w:val="22"/>
        </w:rPr>
        <w:fldChar w:fldCharType="separate"/>
      </w:r>
      <w:r w:rsidR="00C91241">
        <w:rPr>
          <w:rFonts w:asciiTheme="minorHAnsi" w:hAnsiTheme="minorHAnsi" w:cstheme="minorBidi"/>
          <w:noProof/>
          <w:sz w:val="22"/>
          <w:szCs w:val="22"/>
        </w:rPr>
        <w:t>(12)</w:t>
      </w:r>
      <w:r w:rsidR="00373BE9" w:rsidRPr="7EC1B78C">
        <w:rPr>
          <w:rFonts w:asciiTheme="minorHAnsi" w:hAnsiTheme="minorHAnsi" w:cstheme="minorBidi"/>
          <w:noProof/>
          <w:sz w:val="22"/>
          <w:szCs w:val="22"/>
        </w:rPr>
        <w:fldChar w:fldCharType="end"/>
      </w:r>
      <w:r w:rsidRPr="7EC1B78C">
        <w:rPr>
          <w:rFonts w:asciiTheme="minorHAnsi" w:hAnsiTheme="minorHAnsi" w:cstheme="minorBidi"/>
          <w:noProof/>
          <w:sz w:val="22"/>
          <w:szCs w:val="22"/>
        </w:rPr>
        <w:t xml:space="preserve"> likely reflect underlying variation in host immune state and may partly have a genetic basis</w:t>
      </w:r>
      <w:r w:rsidR="00394251">
        <w:rPr>
          <w:rFonts w:asciiTheme="minorHAnsi" w:hAnsiTheme="minorHAnsi" w:cstheme="minorBidi"/>
          <w:noProof/>
          <w:sz w:val="22"/>
          <w:szCs w:val="22"/>
        </w:rPr>
        <w:t xml:space="preserve"> </w:t>
      </w:r>
      <w:r w:rsidR="00B759BF">
        <w:rPr>
          <w:rFonts w:asciiTheme="minorHAnsi" w:hAnsiTheme="minorHAnsi" w:cstheme="minorBidi"/>
          <w:noProof/>
          <w:sz w:val="22"/>
          <w:szCs w:val="22"/>
        </w:rPr>
        <w:fldChar w:fldCharType="begin"/>
      </w:r>
      <w:r w:rsidR="00B449D3">
        <w:rPr>
          <w:rFonts w:asciiTheme="minorHAnsi" w:hAnsiTheme="minorHAnsi" w:cstheme="minorBidi"/>
          <w:noProof/>
          <w:sz w:val="22"/>
          <w:szCs w:val="22"/>
        </w:rPr>
        <w:instrText xml:space="preserve"> ADDIN ZOTERO_ITEM CSL_CITATION {"citationID":"sZmbqUwe","properties":{"formattedCitation":"(90)","plainCitation":"(90)","noteIndex":0},"citationItems":[{"id":9987,"uris":["http://zotero.org/groups/5389589/items/L35L2YXK"],"itemData":{"id":9987,"type":"article","abstract":"Abstract\n          \n            Phylosymbiosis is an association between host-associated microbiome and host phylogeny. This pattern can arise via evolution of host traits, habitat preferences, diets, and co-diversification of hosts and microbes. Understanding the drivers of phylosymbiosis is vital for modelling disease-microbiome interactions and manipulating microbiomes in multi-host systems. This study quantifies phylosymbiosis in Appalachian salamander skin in the context of infection by the fungal pathogen\n            Batrachochytrium dendrobatidis\n            (Bd), while accounting for environmental microbiome exposure. We sampled ten salamander species representing &gt;150M years divergence, assessed their Bd infection status, and analysed their skin and environmental microbiomes. Our results reveal a significant signal of phylosymbiosis which was primarily driven by host phylogeny, whereas the local environmental pool of microbes, climate, and geography had a far smaller impact. Host-microbe co-speciation was not evident, indicating that the effect stems from the evolution of host traits influencing microbiome assembly. Wild salamanders hosted putative Bd-inhibitory strains, and their abundance correlated with Bd infection. Five Bd-inhibitory bacteria strains were unusually cosmopolitan: occurring on most host species and habitats. These generalist strains may enhance the likelihood of probiotic manipulations colonising and persisting on hosts. Our results underscore the substantial influence of host-microbiome eco-evolutionary dynamics on environmental health and disease outcomes.","citation-key":"osborne_phylosymbiosis_2024","DOI":"10.21203/rs.3.rs-3773072/v1","license":"https://creativecommons.org/licenses/by/4.0/","note":"GSCC: 0000001\nCitations: 0 (Crossref) [2025-09-30]","source":"In Review","title":"Phylosymbiosis drives the distribution of pathogen-protective bacteria in Appalachian salamanders","URL":"https://www.researchsquare.com/article/rs-3773072/v1","author":[{"family":"Osborne","given":"Owen"},{"family":"Jiménez","given":"Randall"},{"family":"Byrne","given":"Allison"},{"family":"Gratwicke","given":"Brian"},{"family":"Ellison","given":"Amy"},{"family":"Muletz-Wolz","given":"Carly"}],"accessed":{"date-parts":[["2024",4,24]]},"issued":{"date-parts":[["2024",1,4]]}}}],"schema":"https://github.com/citation-style-language/schema/raw/master/csl-citation.json"} </w:instrText>
      </w:r>
      <w:r w:rsidR="00B759BF">
        <w:rPr>
          <w:rFonts w:asciiTheme="minorHAnsi" w:hAnsiTheme="minorHAnsi" w:cstheme="minorBidi"/>
          <w:noProof/>
          <w:sz w:val="22"/>
          <w:szCs w:val="22"/>
        </w:rPr>
        <w:fldChar w:fldCharType="separate"/>
      </w:r>
      <w:r w:rsidR="00B449D3">
        <w:rPr>
          <w:rFonts w:asciiTheme="minorHAnsi" w:hAnsiTheme="minorHAnsi" w:cstheme="minorBidi"/>
          <w:noProof/>
          <w:sz w:val="22"/>
          <w:szCs w:val="22"/>
        </w:rPr>
        <w:t>(90)</w:t>
      </w:r>
      <w:r w:rsidR="00B759BF">
        <w:rPr>
          <w:rFonts w:asciiTheme="minorHAnsi" w:hAnsiTheme="minorHAnsi" w:cstheme="minorBidi"/>
          <w:noProof/>
          <w:sz w:val="22"/>
          <w:szCs w:val="22"/>
        </w:rPr>
        <w:fldChar w:fldCharType="end"/>
      </w:r>
      <w:r w:rsidRPr="7EC1B78C">
        <w:rPr>
          <w:rFonts w:asciiTheme="minorHAnsi" w:hAnsiTheme="minorHAnsi" w:cstheme="minorBidi"/>
          <w:noProof/>
          <w:sz w:val="22"/>
          <w:szCs w:val="22"/>
        </w:rPr>
        <w:t xml:space="preserve">. In our dataset, we observed unusually high gene-microbe connectivity within the genus </w:t>
      </w:r>
      <w:r w:rsidRPr="7EC1B78C">
        <w:rPr>
          <w:rFonts w:asciiTheme="minorHAnsi" w:hAnsiTheme="minorHAnsi" w:cstheme="minorBidi"/>
          <w:i/>
          <w:iCs/>
          <w:noProof/>
          <w:sz w:val="22"/>
          <w:szCs w:val="22"/>
        </w:rPr>
        <w:t>Sphingobacterium</w:t>
      </w:r>
      <w:r w:rsidRPr="7EC1B78C">
        <w:rPr>
          <w:rFonts w:asciiTheme="minorHAnsi" w:hAnsiTheme="minorHAnsi" w:cstheme="minorBidi"/>
          <w:noProof/>
          <w:sz w:val="22"/>
          <w:szCs w:val="22"/>
        </w:rPr>
        <w:t xml:space="preserve">, a group that has been previously associated with poor Bd outcomes </w:t>
      </w:r>
      <w:r w:rsidR="00394251">
        <w:rPr>
          <w:rFonts w:asciiTheme="minorHAnsi" w:hAnsiTheme="minorHAnsi" w:cstheme="minorBidi"/>
          <w:noProof/>
          <w:sz w:val="22"/>
          <w:szCs w:val="22"/>
        </w:rPr>
        <w:fldChar w:fldCharType="begin"/>
      </w:r>
      <w:r w:rsidR="00B449D3">
        <w:rPr>
          <w:rFonts w:asciiTheme="minorHAnsi" w:hAnsiTheme="minorHAnsi" w:cstheme="minorBidi"/>
          <w:noProof/>
          <w:sz w:val="22"/>
          <w:szCs w:val="22"/>
        </w:rPr>
        <w:instrText xml:space="preserve"> ADDIN ZOTERO_ITEM CSL_CITATION {"citationID":"TId80k7S","properties":{"formattedCitation":"(64,91)","plainCitation":"(64,91)","noteIndex":0},"citationItems":[{"id":19543,"uris":["http://zotero.org/groups/6008588/items/PBDEA33T"],"itemData":{"id":19543,"type":"article-journal","abstract":"The fungal pathogenBatrachochytrium dendrobatidis (Bd) threatens amphibian biodiversity and ecosystem stability worldwide. Amphibian skin microbial community structure has been linked to the clinical outcome of Bd infections, yet its overall functional importance is poorly understood.","container-title":"Microbiome","DOI":"10.1186/s40168-021-01215-6","ISSN":"2049-2618","issue":"1","journalAbbreviation":"Microbiome","page":"44","source":"BioMed Central","title":"Microbiome function predicts amphibian chytridiomycosis disease dynamics","volume":"10","author":[{"family":"Bates","given":"Kieran A."},{"family":"Sommer","given":"Ulf"},{"family":"Hopkins","given":"Kevin P."},{"family":"Shelton","given":"Jennifer M. G."},{"family":"Wierzbicki","given":"Claudia"},{"family":"Sergeant","given":"Christopher"},{"family":"Tapley","given":"Benjamin"},{"family":"Michaels","given":"Christopher J."},{"family":"Schmeller","given":"Dirk S."},{"family":"Loyau","given":"Adeline"},{"family":"Bosch","given":"Jaime"},{"family":"Viant","given":"Mark R."},{"family":"Harrison","given":"Xavier A."},{"family":"Garner","given":"Trenton W. J."},{"family":"Fisher","given":"Matthew C."}],"issued":{"date-parts":[["2022",3,10]]}}},{"id":19598,"uris":["http://zotero.org/groups/6008588/items/QWP4E9Q7"],"itemData":{"id":19598,"type":"article-journal","abstract":"Host-associated microbes are vital for combatting infections and maintaining health. In amphibians, certain skin-associated bacteria inhibit the fungal pathogen Batrachochytrium dendrobatidis (Bd), yet our understanding of host microbial ecology and its role in disease outbreaks is limited. We sampled skin-associated bacteria and Bd from Pyrenean midwife toad populations exhibiting enzootic or epizootic disease dynamics. We demonstrate that bacterial communities differ between life stages with few shared taxa, indicative of restructuring at metamorphosis. We detected a significant effect of infection history on metamorph skin microbiota, with reduced bacterial diversity in epizootic populations and differences in community structure and predicted function. Genome sequencing of Bd isolates supports a single introduction to the Pyrenees and reveals no association between pathogen genetics and epidemiological trends. Our findings provide an ecologically relevant insight into the microbial ecology of amphibian skin and highlight the relative importance of host microbiota and pathogen genetics in predicting disease outcome.","container-title":"Nature Communications","DOI":"10.1038/s41467-018-02967-w","ISSN":"2041-1723","issue":"1","journalAbbreviation":"Nat Commun","language":"en","license":"2018 The Author(s)","page":"693","publisher":"Nature Publishing Group","source":"www.nature.com","title":"Amphibian chytridiomycosis outbreak dynamics are linked with host skin bacterial community structure","volume":"9","author":[{"family":"Bates","given":"Kieran A."},{"family":"Clare","given":"Frances C."},{"family":"O’Hanlon","given":"Simon"},{"family":"Bosch","given":"Jaime"},{"family":"Brookes","given":"Lola"},{"family":"Hopkins","given":"Kevin"},{"family":"McLaughlin","given":"Emilia J."},{"family":"Daniel","given":"Olivia"},{"family":"Garner","given":"Trenton W. J."},{"family":"Fisher","given":"Matthew C."},{"family":"Harrison","given":"Xavier A."}],"issued":{"date-parts":[["2018",2,15]]}}}],"schema":"https://github.com/citation-style-language/schema/raw/master/csl-citation.json"} </w:instrText>
      </w:r>
      <w:r w:rsidR="00394251">
        <w:rPr>
          <w:rFonts w:asciiTheme="minorHAnsi" w:hAnsiTheme="minorHAnsi" w:cstheme="minorBidi"/>
          <w:noProof/>
          <w:sz w:val="22"/>
          <w:szCs w:val="22"/>
        </w:rPr>
        <w:fldChar w:fldCharType="separate"/>
      </w:r>
      <w:r w:rsidR="00B449D3">
        <w:rPr>
          <w:rFonts w:asciiTheme="minorHAnsi" w:hAnsiTheme="minorHAnsi" w:cstheme="minorBidi"/>
          <w:noProof/>
          <w:sz w:val="22"/>
          <w:szCs w:val="22"/>
        </w:rPr>
        <w:t>(64,91)</w:t>
      </w:r>
      <w:r w:rsidR="00394251">
        <w:rPr>
          <w:rFonts w:asciiTheme="minorHAnsi" w:hAnsiTheme="minorHAnsi" w:cstheme="minorBidi"/>
          <w:noProof/>
          <w:sz w:val="22"/>
          <w:szCs w:val="22"/>
        </w:rPr>
        <w:fldChar w:fldCharType="end"/>
      </w:r>
      <w:r w:rsidR="00394251">
        <w:rPr>
          <w:rFonts w:asciiTheme="minorHAnsi" w:hAnsiTheme="minorHAnsi" w:cstheme="minorBidi"/>
          <w:noProof/>
          <w:sz w:val="22"/>
          <w:szCs w:val="22"/>
        </w:rPr>
        <w:t xml:space="preserve">. </w:t>
      </w:r>
      <w:r w:rsidRPr="7EC1B78C">
        <w:rPr>
          <w:rFonts w:asciiTheme="minorHAnsi" w:hAnsiTheme="minorHAnsi" w:cstheme="minorBidi"/>
          <w:noProof/>
          <w:sz w:val="22"/>
          <w:szCs w:val="22"/>
        </w:rPr>
        <w:t xml:space="preserve">Because these taxa were strongly linked to expression of multiple host immune genes, their apparent association with Bd susceptibility may not be a direct effect of microbial inhibition or promotion of the pathogen. Instead, these correlations may arise indirectly, stemming from host expression shifts which in turn affect bacterial abundance. The mechanism for differential disease outcomes within a species are consequential, as disentangling them will allow us to appropriately focus on mitigation approaches. In this study, pathogen infection caused a long-term reduction in immune gene expression, and these transcriptional changes were clearly reflected in the microbiome. Following re-infection, a much broader set of immune genes was activated, </w:t>
      </w:r>
      <w:r w:rsidRPr="7EC1B78C">
        <w:rPr>
          <w:rFonts w:asciiTheme="minorHAnsi" w:hAnsiTheme="minorHAnsi" w:cstheme="minorBidi"/>
          <w:noProof/>
          <w:sz w:val="22"/>
          <w:szCs w:val="22"/>
        </w:rPr>
        <w:lastRenderedPageBreak/>
        <w:t>and this shift was again tightly mirrored by changes in microbial composition. Together, these patterns indicate that a deeper investigation of the underlying immune mechanisms are warranted for highly susceptible species.</w:t>
      </w:r>
    </w:p>
    <w:p w14:paraId="73A4E70D" w14:textId="0A54B04B" w:rsidR="00947AD2" w:rsidRPr="009862C5" w:rsidRDefault="00947AD2" w:rsidP="2DAD1D96">
      <w:pPr>
        <w:spacing w:line="480" w:lineRule="auto"/>
        <w:rPr>
          <w:rFonts w:asciiTheme="minorHAnsi" w:hAnsiTheme="minorHAnsi" w:cstheme="minorBidi"/>
          <w:noProof/>
          <w:sz w:val="22"/>
          <w:szCs w:val="22"/>
        </w:rPr>
      </w:pPr>
    </w:p>
    <w:p w14:paraId="777FBDF2" w14:textId="27A3BEE8" w:rsidR="00947AD2" w:rsidRPr="009862C5" w:rsidRDefault="7EC1B78C" w:rsidP="2DAD1D96">
      <w:pPr>
        <w:spacing w:line="480" w:lineRule="auto"/>
        <w:rPr>
          <w:rFonts w:asciiTheme="minorHAnsi" w:hAnsiTheme="minorHAnsi" w:cstheme="minorBidi"/>
          <w:noProof/>
          <w:sz w:val="22"/>
          <w:szCs w:val="22"/>
        </w:rPr>
      </w:pPr>
      <w:r w:rsidRPr="7EC1B78C">
        <w:rPr>
          <w:rFonts w:asciiTheme="minorHAnsi" w:hAnsiTheme="minorHAnsi" w:cstheme="minorBidi"/>
          <w:noProof/>
          <w:sz w:val="22"/>
          <w:szCs w:val="22"/>
        </w:rPr>
        <w:t>More broadly, comparative studies examining the microbial-immune interface will be key to solving why amphibian species show such high variability in responses to Bd. Based on this study and others, we hypothesize that for resistant species</w:t>
      </w:r>
      <w:r w:rsidR="003D1D78">
        <w:rPr>
          <w:rFonts w:asciiTheme="minorHAnsi" w:hAnsiTheme="minorHAnsi" w:cstheme="minorBidi"/>
          <w:noProof/>
          <w:sz w:val="22"/>
          <w:szCs w:val="22"/>
        </w:rPr>
        <w:t>,</w:t>
      </w:r>
      <w:r w:rsidRPr="7EC1B78C">
        <w:rPr>
          <w:rFonts w:asciiTheme="minorHAnsi" w:hAnsiTheme="minorHAnsi" w:cstheme="minorBidi"/>
          <w:noProof/>
          <w:sz w:val="22"/>
          <w:szCs w:val="22"/>
        </w:rPr>
        <w:t xml:space="preserve"> the skin microbiome and innate immune system play a strong role in reducing the likelihood of infection</w:t>
      </w:r>
      <w:r w:rsidR="00394251">
        <w:rPr>
          <w:rFonts w:asciiTheme="minorHAnsi" w:hAnsiTheme="minorHAnsi" w:cstheme="minorBidi"/>
          <w:noProof/>
          <w:sz w:val="22"/>
          <w:szCs w:val="22"/>
        </w:rPr>
        <w:t xml:space="preserve"> </w:t>
      </w:r>
      <w:r w:rsidR="00394251">
        <w:rPr>
          <w:rFonts w:asciiTheme="minorHAnsi" w:hAnsiTheme="minorHAnsi" w:cstheme="minorBidi"/>
          <w:noProof/>
          <w:sz w:val="22"/>
          <w:szCs w:val="22"/>
        </w:rPr>
        <w:fldChar w:fldCharType="begin"/>
      </w:r>
      <w:r w:rsidR="00B449D3">
        <w:rPr>
          <w:rFonts w:asciiTheme="minorHAnsi" w:hAnsiTheme="minorHAnsi" w:cstheme="minorBidi"/>
          <w:noProof/>
          <w:sz w:val="22"/>
          <w:szCs w:val="22"/>
        </w:rPr>
        <w:instrText xml:space="preserve"> ADDIN ZOTERO_ITEM CSL_CITATION {"citationID":"ku9ZeSSk","properties":{"formattedCitation":"(11,84)","plainCitation":"(11,84)","noteIndex":0},"citationItems":[{"id":19585,"uris":["http://zotero.org/groups/6008588/items/A8U27AIJ"],"itemData":{"id":19585,"type":"article-journal","abstract":"Global amphibian declines are compounded by deadly disease outbreaks caused by the chytrid fungus, Batrachochytrium dendrobatidis (Bd). Much has been learned about the roles of amphibian skin-produced antimicrobial components and microbiomes in controlling Bd, yet almost nothing is known about the roles of skin-resident immune cells in anti-Bd defenses. Mammalian mast cells reside within and serve as key immune sentinels in barrier tissues like skin. Accordingly, we investigated the roles of Xenopus laevis frog mast cells during Bd infections. Our findings indicate that enrichment of X. laevis skin mast cells confers anti-Bd protection and ameliorates the inflammation-associated skin damage caused by Bd infection. This includes a significant reduction in infiltration of Bd-infected skin by neutrophils, promoting mucin content within cutaneous mucus glands, and preventing Bd-mediated changes to skin microbiomes. Mammalian mast cells are known for their production of the pleiotropic interleukin-4 (IL4) cytokine and our findings suggest that the X. laevis IL4 plays a key role in manifesting the effects seen following cutaneous mast cell enrichment. Together, this work underscores the importance of amphibian skin-resident immune cells in anti-Bd defenses and illuminates a novel avenue for investigating amphibian host–chytrid pathogen interactions.","container-title":"eLife","DOI":"10.7554/eLife.92168","ISSN":"2050-084X","page":"RP92168","publisher":"eLife Sciences Publications, Ltd","source":"eLife","title":"Amphibian mast cells serve as barriers to chytrid fungus infections","volume":"12","author":[{"family":"Hauser","given":"Kelsey A"},{"family":"Garvey","given":"Christina N"},{"family":"Crow","given":"Ryley S"},{"family":"Hossainey","given":"Muhammad RH"},{"family":"Howard","given":"Dustin T"},{"family":"Ranganathan","given":"Netra"},{"family":"Gentry","given":"Lindsey K"},{"family":"Yaparla","given":"Amulya"},{"family":"Kalia","given":"Namarta"},{"family":"Zelle","given":"Mira"},{"family":"Jones","given":"Elizabeth J"},{"family":"Duttargi","given":"Anju N"},{"family":"Rollins-Smith","given":"Louise A"},{"family":"Muletz-Wolz","given":"Carly R"},{"family":"Grayfer","given":"Leon"}],"editor":[{"family":"Kim","given":"Brian S"},{"family":"Rath","given":"Satyajit"}],"issued":{"date-parts":[["2024",7,31]]}}},{"id":18796,"uris":["http://zotero.org/users/8183159/items/AINHQXM5"],"itemData":{"id":18796,"type":"article-journal","abstract":"Mucosal defenses are crucial in animals for protection against pathogens and predators. Host defense peptides (antimicrobial peptides, AMPs) as well as skin-associated microbes are key components of mucosal immunity, particularly in amphibians. We integrate microbiology, molecular biology, network-thinking, and proteomics to understand how host and microbially derived products on amphibian skin (referred to as the mucosome) serve as pathogen defenses. We studied defense mechanisms against chytrid pathogens, Batrachochytrium dendrobatidis (Bd) and B. salamandrivorans (Bsal), in four salamander species with different Batrachochytrium susceptibilities. Bd infection was quantified using qPCR, mucosome function (i.e., ability to kill Bd or Bsal zoospores in vitro), skin bacterial communities using 16S rRNA gene amplicon sequencing, and the role of Bd-inhibitory bacteria in microbial networks across all species. We explored the presence of candidate-AMPs in eastern newts and red-backed salamanders. Eastern newts had the highest Bd prevalence and mucosome function, while red-back salamanders had the lowest Bd prevalence and mucosome function, and two-lined salamanders and seal salamanders were intermediates. Salamanders with highest Bd infection intensity showed greater mucosome function. Bd infection prevalence significantly decreased as putative Bd-inhibitory bacterial richness and relative abundance increased on hosts. In co-occurrence networks, some putative Bd-inhibitory bacteria were found as hub-taxa, with red-backs having the highest proportion of protective hubs and positive associations related to putative Bd-inhibitory hub bacteria. We found more AMP candidates on salamanders with lower Bd susceptibility. These findings suggest that salamanders possess distinct innate mechanisms that affect chytrid fungi.IMPORTANCE How host mucosal defenses interact, and influence disease outcome is critical in understanding host defenses against pathogens. A more detailed understanding is needed of the interactions between the host and the functioning of its mucosal defenses in pathogen defense. This study investigates the variability of chytrid susceptibility in salamanders and the innate defenses each species possesses to mediate pathogens, thus advancing the knowledge toward a deeper understanding of the microbial ecology of skin-associated bacteria and contributing to the development of bioaugmentation strategies to mediate pathogen infection and disease. This study improves the understanding of complex immune defense mechanisms in salamanders and highlights the potential role of the mucosome to reduce the probability of Bd disease development and that putative protective bacteria may reduce likelihood of Bd infecting skin.","container-title":"Applied and Environmental Microbiology","DOI":"10.1128/aem.01818-21","issue":"8","page":"e01818-21","publisher":"American Society for Microbiology","source":"journals.asm.org (Atypon)","title":"Inhibitory Bacterial Diversity and Mucosome Function Differentiate Susceptibility of Appalachian Salamanders to Chytrid Fungal Infection","volume":"88","author":[{"family":"Jiménez","given":"Randall R."},{"family":"Carfagno","given":"Amy"},{"family":"Linhoff","given":"Luke"},{"family":"Gratwicke","given":"Brian"},{"family":"Woodhams","given":"Douglas C."},{"family":"Chafran","given":"Liana Soares"},{"family":"Bletz","given":"Molly C."},{"family":"Bishop","given":"Barney"},{"family":"Muletz-Wolz","given":"Carly R."}],"issued":{"date-parts":[["2022",3,29]]}}}],"schema":"https://github.com/citation-style-language/schema/raw/master/csl-citation.json"} </w:instrText>
      </w:r>
      <w:r w:rsidR="00394251">
        <w:rPr>
          <w:rFonts w:asciiTheme="minorHAnsi" w:hAnsiTheme="minorHAnsi" w:cstheme="minorBidi"/>
          <w:noProof/>
          <w:sz w:val="22"/>
          <w:szCs w:val="22"/>
        </w:rPr>
        <w:fldChar w:fldCharType="separate"/>
      </w:r>
      <w:r w:rsidR="00B449D3">
        <w:rPr>
          <w:rFonts w:asciiTheme="minorHAnsi" w:hAnsiTheme="minorHAnsi" w:cstheme="minorBidi"/>
          <w:noProof/>
          <w:sz w:val="22"/>
          <w:szCs w:val="22"/>
        </w:rPr>
        <w:t>(11,84)</w:t>
      </w:r>
      <w:r w:rsidR="00394251">
        <w:rPr>
          <w:rFonts w:asciiTheme="minorHAnsi" w:hAnsiTheme="minorHAnsi" w:cstheme="minorBidi"/>
          <w:noProof/>
          <w:sz w:val="22"/>
          <w:szCs w:val="22"/>
        </w:rPr>
        <w:fldChar w:fldCharType="end"/>
      </w:r>
      <w:r w:rsidR="00394251">
        <w:rPr>
          <w:rFonts w:asciiTheme="minorHAnsi" w:hAnsiTheme="minorHAnsi" w:cstheme="minorBidi"/>
          <w:noProof/>
          <w:sz w:val="22"/>
          <w:szCs w:val="22"/>
        </w:rPr>
        <w:t xml:space="preserve">, </w:t>
      </w:r>
      <w:r w:rsidRPr="7EC1B78C">
        <w:rPr>
          <w:rFonts w:asciiTheme="minorHAnsi" w:hAnsiTheme="minorHAnsi" w:cstheme="minorBidi"/>
          <w:noProof/>
          <w:sz w:val="22"/>
          <w:szCs w:val="22"/>
        </w:rPr>
        <w:t xml:space="preserve">which is likely more of a reflection of processes occuring over evolutionary time </w:t>
      </w:r>
      <w:r w:rsidR="00394251">
        <w:rPr>
          <w:rFonts w:asciiTheme="minorHAnsi" w:hAnsiTheme="minorHAnsi" w:cstheme="minorBidi"/>
          <w:noProof/>
          <w:sz w:val="22"/>
          <w:szCs w:val="22"/>
        </w:rPr>
        <w:fldChar w:fldCharType="begin"/>
      </w:r>
      <w:r w:rsidR="00B449D3">
        <w:rPr>
          <w:rFonts w:asciiTheme="minorHAnsi" w:hAnsiTheme="minorHAnsi" w:cstheme="minorBidi"/>
          <w:noProof/>
          <w:sz w:val="22"/>
          <w:szCs w:val="22"/>
        </w:rPr>
        <w:instrText xml:space="preserve"> ADDIN ZOTERO_ITEM CSL_CITATION {"citationID":"TcJI6n5n","properties":{"formattedCitation":"(90)","plainCitation":"(90)","noteIndex":0},"citationItems":[{"id":9987,"uris":["http://zotero.org/groups/5389589/items/L35L2YXK"],"itemData":{"id":9987,"type":"article","abstract":"Abstract\n          \n            Phylosymbiosis is an association between host-associated microbiome and host phylogeny. This pattern can arise via evolution of host traits, habitat preferences, diets, and co-diversification of hosts and microbes. Understanding the drivers of phylosymbiosis is vital for modelling disease-microbiome interactions and manipulating microbiomes in multi-host systems. This study quantifies phylosymbiosis in Appalachian salamander skin in the context of infection by the fungal pathogen\n            Batrachochytrium dendrobatidis\n            (Bd), while accounting for environmental microbiome exposure. We sampled ten salamander species representing &gt;150M years divergence, assessed their Bd infection status, and analysed their skin and environmental microbiomes. Our results reveal a significant signal of phylosymbiosis which was primarily driven by host phylogeny, whereas the local environmental pool of microbes, climate, and geography had a far smaller impact. Host-microbe co-speciation was not evident, indicating that the effect stems from the evolution of host traits influencing microbiome assembly. Wild salamanders hosted putative Bd-inhibitory strains, and their abundance correlated with Bd infection. Five Bd-inhibitory bacteria strains were unusually cosmopolitan: occurring on most host species and habitats. These generalist strains may enhance the likelihood of probiotic manipulations colonising and persisting on hosts. Our results underscore the substantial influence of host-microbiome eco-evolutionary dynamics on environmental health and disease outcomes.","citation-key":"osborne_phylosymbiosis_2024","DOI":"10.21203/rs.3.rs-3773072/v1","license":"https://creativecommons.org/licenses/by/4.0/","note":"GSCC: 0000001\nCitations: 0 (Crossref) [2025-09-30]","source":"In Review","title":"Phylosymbiosis drives the distribution of pathogen-protective bacteria in Appalachian salamanders","URL":"https://www.researchsquare.com/article/rs-3773072/v1","author":[{"family":"Osborne","given":"Owen"},{"family":"Jiménez","given":"Randall"},{"family":"Byrne","given":"Allison"},{"family":"Gratwicke","given":"Brian"},{"family":"Ellison","given":"Amy"},{"family":"Muletz-Wolz","given":"Carly"}],"accessed":{"date-parts":[["2024",4,24]]},"issued":{"date-parts":[["2024",1,4]]}}}],"schema":"https://github.com/citation-style-language/schema/raw/master/csl-citation.json"} </w:instrText>
      </w:r>
      <w:r w:rsidR="00394251">
        <w:rPr>
          <w:rFonts w:asciiTheme="minorHAnsi" w:hAnsiTheme="minorHAnsi" w:cstheme="minorBidi"/>
          <w:noProof/>
          <w:sz w:val="22"/>
          <w:szCs w:val="22"/>
        </w:rPr>
        <w:fldChar w:fldCharType="separate"/>
      </w:r>
      <w:r w:rsidR="00B449D3">
        <w:rPr>
          <w:rFonts w:asciiTheme="minorHAnsi" w:hAnsiTheme="minorHAnsi" w:cstheme="minorBidi"/>
          <w:noProof/>
          <w:sz w:val="22"/>
          <w:szCs w:val="22"/>
        </w:rPr>
        <w:t>(90)</w:t>
      </w:r>
      <w:r w:rsidR="00394251">
        <w:rPr>
          <w:rFonts w:asciiTheme="minorHAnsi" w:hAnsiTheme="minorHAnsi" w:cstheme="minorBidi"/>
          <w:noProof/>
          <w:sz w:val="22"/>
          <w:szCs w:val="22"/>
        </w:rPr>
        <w:fldChar w:fldCharType="end"/>
      </w:r>
      <w:r w:rsidR="00394251">
        <w:rPr>
          <w:rFonts w:asciiTheme="minorHAnsi" w:hAnsiTheme="minorHAnsi" w:cstheme="minorBidi"/>
          <w:noProof/>
          <w:sz w:val="22"/>
          <w:szCs w:val="22"/>
        </w:rPr>
        <w:t xml:space="preserve"> </w:t>
      </w:r>
      <w:r w:rsidRPr="7EC1B78C">
        <w:rPr>
          <w:rFonts w:asciiTheme="minorHAnsi" w:hAnsiTheme="minorHAnsi" w:cstheme="minorBidi"/>
          <w:noProof/>
          <w:sz w:val="22"/>
          <w:szCs w:val="22"/>
        </w:rPr>
        <w:t xml:space="preserve">including prior exposures to diverse fungi </w:t>
      </w:r>
      <w:r w:rsidR="009551DF">
        <w:rPr>
          <w:rFonts w:asciiTheme="minorHAnsi" w:hAnsiTheme="minorHAnsi" w:cstheme="minorBidi"/>
          <w:noProof/>
          <w:sz w:val="22"/>
          <w:szCs w:val="22"/>
        </w:rPr>
        <w:t xml:space="preserve"> </w:t>
      </w:r>
      <w:r w:rsidR="009551DF">
        <w:rPr>
          <w:rFonts w:asciiTheme="minorHAnsi" w:hAnsiTheme="minorHAnsi" w:cstheme="minorBidi"/>
          <w:noProof/>
          <w:sz w:val="22"/>
          <w:szCs w:val="22"/>
        </w:rPr>
        <w:fldChar w:fldCharType="begin"/>
      </w:r>
      <w:r w:rsidR="00B449D3">
        <w:rPr>
          <w:rFonts w:asciiTheme="minorHAnsi" w:hAnsiTheme="minorHAnsi" w:cstheme="minorBidi"/>
          <w:noProof/>
          <w:sz w:val="22"/>
          <w:szCs w:val="22"/>
        </w:rPr>
        <w:instrText xml:space="preserve"> ADDIN ZOTERO_ITEM CSL_CITATION {"citationID":"n1yFTMXP","properties":{"formattedCitation":"(92,93)","plainCitation":"(92,93)","noteIndex":0},"citationItems":[{"id":19602,"uris":["http://zotero.org/groups/6008588/items/IQ6TWP35"],"itemData":{"id":19602,"type":"article-journal","abstract":"10.\tRandall R. Jiménez, Piper Thacher, Owen G., Osborne, Brian Gratwicke, Carly R. Muletz-Wolz Microbial metacommunity ecology: using null models and networks to understand assembly in a salamander disease system. Ecosphere.","container-title":"Ecosphere","title":"Microbial metacommunity ecology: using null models and networks to understand assembly in a salamander disease system.","volume":"(in review)","author":[{"family":"Jiménez","given":"Randall R"},{"family":"Thatcher","given":"Piper"},{"family":"Osborne","given":"Owen G."},{"family":"Gratwicke","given":"Brian"},{"family":"Muletz-Wolz","given":"Carly R."}]}},{"id":18767,"uris":["http://zotero.org/groups/6008588/items/4TD7MH9C"],"itemData":{"id":18767,"type":"article-journal","abstract":"Amphibian skin microbiomes can play a critical role in host survival against emerging diseases by protecting their host against pathogens. While a plethora of biotic and abiotic factors have been shown to influence the taxonomic diversity of amphibian skin microbiomes it remains unclear whether functional genomic diversity varies in response to temporal and environmental factors. Here we applied a metagenomic approach to evaluate whether seasonality, distinct elevations/sites, and pathogen presence influenced the functional genomic diversity of the A. altamirani skin microbiome. We obtained a gene catalogue of 92107 nonredundant annotated genes and a set of 50 unique metagenome assembled genomes (MAGs). Our analysis showed that genes linked to general and potential antifungal traits significantly differed across seasons and sampling locations at different elevations. Moreover, we found that the functional genomic diversity of A. altamirani skin microbiome differed between B. dendrobatidis infected and not infected axolotls only during winter, suggesting an interaction between seasonality and pathogen infection. In addition, we identified the presence of genes and biosynthetic gene clusters (BGCs) linked to potential antifungal functions such as biofilm formation, quorum sensing, secretion systems, secondary metabolite biosynthesis, and chitin degradation. Interestingly genes linked to these potential antifungal traits were mainly identified in Burkholderiales and Chitinophagales MAGs. Overall, our results identified functional traits linked to potential antifungal functions in the A. altamirani skin microbiome regardless of variation in the functional diversity across seasons, elevations/sites, and pathogen presence. Our findings suggest that potential antifungal traits found in Burkholderiales and Chitinophagales taxa could be related to the capacity of A. altamirani to survive in the presence of Bd, although further experimental analyses are required to test this hypothesis.","container-title":"Microbial Genomics","DOI":"10.1099/mgen.0.001181","ISSN":"2057-5858","issue":"1","language":"en","license":"http://creativecommons.org/licenses/by/4.0/","source":"DOI.org (Crossref)","title":"Gene functions of the &lt;i&gt;Ambystoma altamirani&lt;/i&gt; skin microbiome vary across space and time but potential antifungal genes are widespread and prevalent","URL":"https://www.microbiologyresearch.org/content/journal/mgen/10.1099/mgen.0.001181","volume":"10","author":[{"family":"Martínez-Ugalde","given":"Emanuel"},{"family":"Ávila-Akerberg","given":"Víctor"},{"family":"González Martínez","given":"Tanya M."},{"family":"Rebollar","given":"Eria A."}],"accessed":{"date-parts":[["2025",8,20]]},"issued":{"date-parts":[["2024",1,19]]}}}],"schema":"https://github.com/citation-style-language/schema/raw/master/csl-citation.json"} </w:instrText>
      </w:r>
      <w:r w:rsidR="009551DF">
        <w:rPr>
          <w:rFonts w:asciiTheme="minorHAnsi" w:hAnsiTheme="minorHAnsi" w:cstheme="minorBidi"/>
          <w:noProof/>
          <w:sz w:val="22"/>
          <w:szCs w:val="22"/>
        </w:rPr>
        <w:fldChar w:fldCharType="separate"/>
      </w:r>
      <w:r w:rsidR="00B449D3">
        <w:rPr>
          <w:rFonts w:asciiTheme="minorHAnsi" w:hAnsiTheme="minorHAnsi" w:cstheme="minorBidi"/>
          <w:noProof/>
          <w:sz w:val="22"/>
          <w:szCs w:val="22"/>
        </w:rPr>
        <w:t>(92,93)</w:t>
      </w:r>
      <w:r w:rsidR="009551DF">
        <w:rPr>
          <w:rFonts w:asciiTheme="minorHAnsi" w:hAnsiTheme="minorHAnsi" w:cstheme="minorBidi"/>
          <w:noProof/>
          <w:sz w:val="22"/>
          <w:szCs w:val="22"/>
        </w:rPr>
        <w:fldChar w:fldCharType="end"/>
      </w:r>
      <w:r w:rsidRPr="7EC1B78C">
        <w:rPr>
          <w:rFonts w:asciiTheme="minorHAnsi" w:hAnsiTheme="minorHAnsi" w:cstheme="minorBidi"/>
          <w:noProof/>
          <w:sz w:val="22"/>
          <w:szCs w:val="22"/>
        </w:rPr>
        <w:t xml:space="preserve"> and not a direct reflection of interactions with Bd. For moderately susceptible species, evidence indicates the prior Bd exposure</w:t>
      </w:r>
      <w:r w:rsidR="003D1D78">
        <w:rPr>
          <w:rFonts w:asciiTheme="minorHAnsi" w:hAnsiTheme="minorHAnsi" w:cstheme="minorBidi"/>
          <w:noProof/>
          <w:sz w:val="22"/>
          <w:szCs w:val="22"/>
        </w:rPr>
        <w:t>,</w:t>
      </w:r>
      <w:r w:rsidRPr="7EC1B78C">
        <w:rPr>
          <w:rFonts w:asciiTheme="minorHAnsi" w:hAnsiTheme="minorHAnsi" w:cstheme="minorBidi"/>
          <w:noProof/>
          <w:sz w:val="22"/>
          <w:szCs w:val="22"/>
        </w:rPr>
        <w:t xml:space="preserve"> whether to live or dead Bd cells</w:t>
      </w:r>
      <w:r w:rsidR="003D1D78">
        <w:rPr>
          <w:rFonts w:asciiTheme="minorHAnsi" w:hAnsiTheme="minorHAnsi" w:cstheme="minorBidi"/>
          <w:noProof/>
          <w:sz w:val="22"/>
          <w:szCs w:val="22"/>
        </w:rPr>
        <w:t>,</w:t>
      </w:r>
      <w:r w:rsidRPr="7EC1B78C">
        <w:rPr>
          <w:rFonts w:asciiTheme="minorHAnsi" w:hAnsiTheme="minorHAnsi" w:cstheme="minorBidi"/>
          <w:noProof/>
          <w:sz w:val="22"/>
          <w:szCs w:val="22"/>
        </w:rPr>
        <w:t xml:space="preserve"> leads to an increase in survival </w:t>
      </w:r>
      <w:r w:rsidR="009551DF">
        <w:rPr>
          <w:rFonts w:asciiTheme="minorHAnsi" w:hAnsiTheme="minorHAnsi" w:cstheme="minorBidi"/>
          <w:noProof/>
          <w:sz w:val="22"/>
          <w:szCs w:val="22"/>
        </w:rPr>
        <w:fldChar w:fldCharType="begin"/>
      </w:r>
      <w:r w:rsidR="006159DD">
        <w:rPr>
          <w:rFonts w:asciiTheme="minorHAnsi" w:hAnsiTheme="minorHAnsi" w:cstheme="minorBidi"/>
          <w:noProof/>
          <w:sz w:val="22"/>
          <w:szCs w:val="22"/>
        </w:rPr>
        <w:instrText xml:space="preserve"> ADDIN ZOTERO_ITEM CSL_CITATION {"citationID":"eiMvBOYy","properties":{"formattedCitation":"(18\\uc0\\u8211{}20,24)","plainCitation":"(18–20,24)","noteIndex":0},"citationItems":[{"id":4654,"uris":["http://zotero.org/users/8183159/items/WEBQ8I94"],"itemData":{"id":4654,"type":"article-journal","citation-key":"McMahon2014","container-title":"Nature","DOI":"10.1038/nature13491","ISSN":"0028-0836","issue":"7508","page":"224-227","publisher":"Nature Publishing Group","title":"Amphibians acquire resistance to live and dead fungus overcoming fungal immunosuppression","volume":"511","author":[{"family":"McMahon","given":"Taegan A."},{"family":"Sears","given":"Brittany F."},{"family":"Venesky","given":"Matthew D."},{"family":"Bessler","given":"Scott M."},{"family":"Brown","given":"Jenise M."},{"family":"Deutsch","given":"Kaitlin"},{"family":"Halstead","given":"Neal T."},{"family":"Lentz","given":"Garrett"},{"family":"Tenouri","given":"Nadia"},{"family":"Young","given":"Suzanne"},{"family":"Civitello","given":"David J."},{"family":"Ortega","given":"Nicole"},{"family":"Fites","given":"J. Scott"},{"family":"Reinert","given":"Laura K."},{"family":"Rollins-Smith","given":"Louise A."},{"family":"Raffel","given":"Thomas R."},{"family":"Rohr","given":"Jason R."}],"issued":{"date-parts":[["2014"]]}}},{"id":5950,"uris":["http://zotero.org/users/8183159/items/C54JBMST","http://zotero.org/users/8183159/items/DXVSZQB3"],"itemData":{"id":5950,"type":"article-journal","abstract":"Amphibian biodiversity is experiencing ongoing declines due in part to the infectious disease, chytridiomycosis. Efforts to mitigate the effects of the causal agent of chytridiomycosis, Batrachochytrium dendrobatidis (Bd), in the wild have not been wholly effective. Translocations are an important management tool for amphibians, and immunizations represent a possible strategy for preparing amphibians for release across a landscape where Bd exists. We evaluated the utility of using an isolate of Bd that was shown to be hypovirulent to the relict leopard frog Rana onca as a transmissible inoculum for promoting chytridiomycosis resistance. We conducted a co-housing experiment to determine if the isolate we used could be passed between R. onca without increasing in virulence. We then followed with an experiment where frogs that were exposed to the hypovirulent isolate were then challenged with a virulent Bd isolate. In other experiments, we evaluated whether Bd infections followed by clearance with itraconazole (an antifungal) could increase resistance to chytridiomycosis in R. onca and Rana pipiens (northern leopard frog). We found that our hypovirulent Bd inoculation was transmissible between hosts, did not cause chytridiomycosis and was effective at imparting long-term chytridiomycosis resistance. Rana onca inoculated with the hypovirulent Bd isolate had lower pathogen burdens and were 55 times more likely to survive infections by a virulent Bd isolate than non-inoculated frogs. For both species, prior exposure to Bd followed by infection clearance with itraconazole resulted in significantly increased survivorship and lower pathogen burdens as compared to controls that had no prior Bd exposure. Rana onca that were previously exposed to Bd were more than 15 times more likely to survive infections. Previously exposed R. pipiens survived in higher proportions than controls, but with weaker statistical support. Synthesis and Applications. Translocations are an important management tool for many amphibian conservation programs. For amphibian species that have experienced declines due to the disease chytridiomycosis [caused by the pathogen Batrachochytrium dendrobatidis (Bd)], the success of translocations may be limited due to the persistent threat of the disease in the wild. We completed a series of experiments aimed at increasing amphibian resistance to chytridiomycosis using low-virulence, transmissible Bd inoculations and Bd infection followed by clearance with an antifungal (itraconazole). Our low-virulence Bd inoculations were transmissible, did not cause disease and provided long-term resistance against chytridiomycosis. Similarly, infection with Bd and clearance with itraconazole led to increased resistance to chytridiomycosis in subsequent exposures. The use of a low-virulence Bd inoculation could be further developed into a transmissible vaccine, propagating the protective benefits beyond individuals that can be directly inoculated. At this stage, we advise that using the alternative approach of infecting frogs with Bd from translocation sites followed by clearance of infections with itraconazole may be sensible for increasing host resistance to chytridiomycosis.","container-title":"Journal of Applied Ecology","DOI":"10.1111/1365-2664.13974","ISSN":"13652664","issue":"10","page":"2053-2064","title":"Amphibian resistance to chytridiomycosis increases following low-virulence chytrid fungal infection or drug-mediated clearance","volume":"58","author":[{"family":"Waddle","given":"Anthony W."},{"family":"Rivera","given":"Rebeca"},{"family":"Rice","given":"Hannah"},{"family":"Keenan","given":"Emma C."},{"family":"Rezaei","given":"Ghazal"},{"family":"Levy","given":"Joshua E."},{"family":"Vasquez","given":"Yesenia S."},{"family":"Sai","given":"Marlai"},{"family":"Hill","given":"Jessica"},{"family":"Zmuda","given":"Alexandra"},{"family":"Lambreghts","given":"Yorick"},{"family":"Jaeger","given":"Jef R."}],"issued":{"date-parts":[["2021"]]}}},{"id":12450,"uris":["http://zotero.org/users/8183159/items/UNC5HTRV"],"itemData":{"id":12450,"type":"article-journal","container-title":"Nature","DOI":"10.1038/s41586-024-07582-y","ISSN":"0028-0836, 1476-4687","issue":"8020","journalAbbreviation":"Nature","language":"en","page":"344-349","source":"DOI.org (Crossref)","title":"Hotspot shelters stimulate frog resistance to chytridiomycosis","volume":"631","author":[{"family":"Waddle","given":"Anthony W."},{"family":"Clulow","given":"Simon"},{"family":"Aquilina","given":"Amy"},{"family":"Sauer","given":"Erin L."},{"family":"Kaiser","given":"Shannon W."},{"family":"Miller","given":"Claire"},{"family":"Flegg","given":"Jennifer A."},{"family":"Campbell","given":"Patricia T."},{"family":"Gallagher","given":"Harrison"},{"family":"Dimovski","given":"Ivana"},{"family":"Lambreghts","given":"Yorick"},{"family":"Berger","given":"Lee"},{"family":"Skerratt","given":"Lee F."},{"family":"Shine","given":"Richard"}],"issued":{"date-parts":[["2024",7,11]]}}},{"id":12457,"uris":["http://zotero.org/users/8183159/items/E2QTXULH"],"itemData":{"id":12457,"type":"article-journal","abstract":"Batrachochytrium dendrobatidis (Bd), an aquatic pathogenic fungus, is responsible for the decline of hundreds of amphibian species worldwide and negatively impacts biodiversity globally. Prophylactic exposure to the metabolites produced by Bd can provide protection for naïve tree frogs and reduce subsequent Bd infection intensity. Here, we used a response surface design crossing Bd metabolite prophylaxis concentration and exposure duration to determine how these factors modulate prophylactic protection against Bd in Pacific chorus frog (Pseudacris regilla) tadpoles (5 × 5 surface design) and metamorphs (3 × 3 surface design). We exposed individuals every weekday to one of five Bd metabolite concentrations or a water control for 1–5 weeks, after which all animals were challenged with live Bd to evaluate their susceptibility. Exposure to the Bd metabolite prophylaxis reduced Bd load and prevalence compared to the control for both the tadpoles and metamorphs. Increasing Bd metabolite prophylaxis concentration did not confer additional protection for either life stage, but increasing duration of exposure did benefit metamorphs by decreasing Bd prevalence but not Bd load. On average, control tadpoles and metamorphs had 66.2% and 99.4% higher Bd loads, respectively, than tadpoles and metamorphs exposed to any Bd metabolite prophylaxis. Additionally, Bd metabolite prophylaxis reduced Bd prevalence relative to controls in both tadpoles (20.5% vs. 56.3%, respectively) and metamorphs (21.9% vs. 87.5%, respectively). Synthesis and applications: The efficacy of short-term exposures of relatively low concentrations of Bd metabolites at reducing Bd infections suggests that this approach has the potential to be scaled up to field use to aid in disease mitigation and conservation. Our results, combined with additional research on Bd metabolite prophylaxis for other amphibian species, suggest that this strategy may represent a broadly useful tool to protect at-risk amphibian populations.","container-title":"Journal of Applied Ecology","DOI":"10.1111/1365-2664.14818","ISSN":"1365-2664","issue":"12","language":"en","license":"© 2024 The Author(s). Journal of Applied Ecology © 2024 British Ecological Society.","note":"_eprint: https://onlinelibrary.wiley.com/doi/pdf/10.1111/1365-2664.14818","page":"3139-3147","source":"Wiley Online Library","title":"Efficacy of Bd metabolite prophylaxis dose and duration on host defence against the deadly chytrid fungus &lt;i&gt;Batrachochytrium dendrobatidis&lt;/i&gt;","volume":"61","author":[{"family":"McMahon","given":"Taegan A."},{"family":"Garcia","given":"Alexis M."},{"family":"Malinias","given":"Aiza J."},{"family":"Monsalve","given":"Manuela"},{"family":"Muldro","given":"Liam C."},{"family":"Sisson","given":"Edin O."},{"family":"Johnson","given":"Pieter T. J."},{"family":"Rohr","given":"Jason R."},{"family":"Civitello","given":"David J."}],"issued":{"date-parts":[["2024"]]}}}],"schema":"https://github.com/citation-style-language/schema/raw/master/csl-citation.json"} </w:instrText>
      </w:r>
      <w:r w:rsidR="009551DF">
        <w:rPr>
          <w:rFonts w:asciiTheme="minorHAnsi" w:hAnsiTheme="minorHAnsi" w:cstheme="minorBidi"/>
          <w:noProof/>
          <w:sz w:val="22"/>
          <w:szCs w:val="22"/>
        </w:rPr>
        <w:fldChar w:fldCharType="separate"/>
      </w:r>
      <w:r w:rsidR="00C91241" w:rsidRPr="00C91241">
        <w:rPr>
          <w:rFonts w:ascii="Calibri" w:eastAsiaTheme="minorHAnsi" w:hAnsiTheme="minorHAnsi" w:cs="Calibri"/>
          <w:sz w:val="22"/>
        </w:rPr>
        <w:t>(18–20,24)</w:t>
      </w:r>
      <w:r w:rsidR="009551DF">
        <w:rPr>
          <w:rFonts w:asciiTheme="minorHAnsi" w:hAnsiTheme="minorHAnsi" w:cstheme="minorBidi"/>
          <w:noProof/>
          <w:sz w:val="22"/>
          <w:szCs w:val="22"/>
        </w:rPr>
        <w:fldChar w:fldCharType="end"/>
      </w:r>
      <w:r w:rsidR="009551DF">
        <w:rPr>
          <w:rFonts w:asciiTheme="minorHAnsi" w:hAnsiTheme="minorHAnsi" w:cstheme="minorBidi"/>
          <w:noProof/>
          <w:sz w:val="22"/>
          <w:szCs w:val="22"/>
        </w:rPr>
        <w:t xml:space="preserve"> </w:t>
      </w:r>
      <w:r w:rsidRPr="7EC1B78C">
        <w:rPr>
          <w:rFonts w:asciiTheme="minorHAnsi" w:hAnsiTheme="minorHAnsi" w:cstheme="minorBidi"/>
          <w:noProof/>
          <w:sz w:val="22"/>
          <w:szCs w:val="22"/>
        </w:rPr>
        <w:t>but whether the mechanism is immunological or microbial has yet to be determined. For highly susceptible species, we hypothesize that prior Bd exposure will be ineffective, as observed here, because it triggers an inflammatory response at first infection that subsequently leads to poorer responses upon re-infection. It is likely only a small number of bacterial species in the amphibian skin microbiome has pronounced functional relevance to the immune system (Madison et al. 2025) and to Bd</w:t>
      </w:r>
      <w:r w:rsidR="009551DF">
        <w:rPr>
          <w:rFonts w:asciiTheme="minorHAnsi" w:hAnsiTheme="minorHAnsi" w:cstheme="minorBidi"/>
          <w:noProof/>
          <w:sz w:val="22"/>
          <w:szCs w:val="22"/>
        </w:rPr>
        <w:t xml:space="preserve"> </w:t>
      </w:r>
      <w:r w:rsidR="009551DF">
        <w:rPr>
          <w:rFonts w:asciiTheme="minorHAnsi" w:hAnsiTheme="minorHAnsi" w:cstheme="minorBidi"/>
          <w:noProof/>
          <w:sz w:val="22"/>
          <w:szCs w:val="22"/>
        </w:rPr>
        <w:fldChar w:fldCharType="begin"/>
      </w:r>
      <w:r w:rsidR="006159DD">
        <w:rPr>
          <w:rFonts w:asciiTheme="minorHAnsi" w:hAnsiTheme="minorHAnsi" w:cstheme="minorBidi"/>
          <w:noProof/>
          <w:sz w:val="22"/>
          <w:szCs w:val="22"/>
        </w:rPr>
        <w:instrText xml:space="preserve"> ADDIN ZOTERO_ITEM CSL_CITATION {"citationID":"f0UmzdiP","properties":{"formattedCitation":"(64,78)","plainCitation":"(64,78)","noteIndex":0},"citationItems":[{"id":19543,"uris":["http://zotero.org/groups/6008588/items/PBDEA33T"],"itemData":{"id":19543,"type":"article-journal","abstract":"The fungal pathogenBatrachochytrium dendrobatidis (Bd) threatens amphibian biodiversity and ecosystem stability worldwide. Amphibian skin microbial community structure has been linked to the clinical outcome of Bd infections, yet its overall functional importance is poorly understood.","container-title":"Microbiome","DOI":"10.1186/s40168-021-01215-6","ISSN":"2049-2618","issue":"1","journalAbbreviation":"Microbiome","page":"44","source":"BioMed Central","title":"Microbiome function predicts amphibian chytridiomycosis disease dynamics","volume":"10","author":[{"family":"Bates","given":"Kieran A."},{"family":"Sommer","given":"Ulf"},{"family":"Hopkins","given":"Kevin P."},{"family":"Shelton","given":"Jennifer M. G."},{"family":"Wierzbicki","given":"Claudia"},{"family":"Sergeant","given":"Christopher"},{"family":"Tapley","given":"Benjamin"},{"family":"Michaels","given":"Christopher J."},{"family":"Schmeller","given":"Dirk S."},{"family":"Loyau","given":"Adeline"},{"family":"Bosch","given":"Jaime"},{"family":"Viant","given":"Mark R."},{"family":"Harrison","given":"Xavier A."},{"family":"Garner","given":"Trenton W. J."},{"family":"Fisher","given":"Matthew C."}],"issued":{"date-parts":[["2022",3,10]]}}},{"id":5740,"uris":["http://zotero.org/users/8183159/items/SMMTU7J4"],"itemData":{"id":5740,"type":"article-journal","abstract":"Symbiotic microbial communities may interact with infectious pathogens sharing a common host. The microbiome may limit pathogen infection or, conversely, an invading pathogen can disturb the microbiome. Documentation of such relationships during naturally occurring disease outbreaks is rare, and identifying causal links from field observations is difficult. This study documented the effects of an amphibian skin pathogen of global conservation concern [the chytrid fungus Batrachochytrium dendrobatidis (Bd)] on the skin-associated bacterialmicrobiome of the endangered frog, Rana sierrae, using a combination of population surveys and laboratory experiments. We examined covariation of pathogen infection and bacterial microbiome composition in wild frogs, demonstrating a strong and consistent correlation between Bd infection load and bacterial community composition in multiple R. sierrae populations. Despite the correlation between Bd infection load and bacterial community composition, we observed 100% mortality of postmetamorphic frogs during a Bd epizootic, suggesting that the relationship between Bd and bacterial communities was not linked to variation in resistance to mortal disease and that Bd infection altered bacterial communities. In a controlled experiment, Bd infection significantly altered the R. sierrae microbiome, demonstrating a causal relationship. The response of microbial communities to Bd infection was remarkably consistent: Several bacterial taxa showed the same response to Bd infection across multiple field populations and the laboratory experiment, indicating a somewhat predictable interaction between Bd and the microbiome. The laboratory experiment demonstrates that Bd infection causes changes to amphibian skin bacterial communities, whereas the laboratory and field results together strongly support Bd disturbance as a driver of bacterial community change during natural disease dynamics.","citation-key":"Jani2014","container-title":"Proceedings of the National Academy of Sciences of the United States of America","DOI":"10.1073/pnas.1412752111","ISSN":"10916490","issue":"47","page":"E5049-E5058","PMID":"25385615","publisher":"National Academy of Sciences","title":"The pathogen &lt;i&gt;Batrachochytrium dendrobatidis&lt;/i&gt; disturbs the frog skin microbiome during a natural epidemic and experimental infection","volume":"111","author":[{"family":"Jani","given":"Andrea J."},{"family":"Briggs","given":"Cheryl J."}],"issued":{"date-parts":[["2014",11,25]]}}}],"schema":"https://github.com/citation-style-language/schema/raw/master/csl-citation.json"} </w:instrText>
      </w:r>
      <w:r w:rsidR="009551DF">
        <w:rPr>
          <w:rFonts w:asciiTheme="minorHAnsi" w:hAnsiTheme="minorHAnsi" w:cstheme="minorBidi"/>
          <w:noProof/>
          <w:sz w:val="22"/>
          <w:szCs w:val="22"/>
        </w:rPr>
        <w:fldChar w:fldCharType="separate"/>
      </w:r>
      <w:r w:rsidR="00E865C5">
        <w:rPr>
          <w:rFonts w:asciiTheme="minorHAnsi" w:hAnsiTheme="minorHAnsi" w:cstheme="minorBidi"/>
          <w:noProof/>
          <w:sz w:val="22"/>
          <w:szCs w:val="22"/>
        </w:rPr>
        <w:t>(64,78)</w:t>
      </w:r>
      <w:r w:rsidR="009551DF">
        <w:rPr>
          <w:rFonts w:asciiTheme="minorHAnsi" w:hAnsiTheme="minorHAnsi" w:cstheme="minorBidi"/>
          <w:noProof/>
          <w:sz w:val="22"/>
          <w:szCs w:val="22"/>
        </w:rPr>
        <w:fldChar w:fldCharType="end"/>
      </w:r>
      <w:r w:rsidR="003D1D78">
        <w:rPr>
          <w:rFonts w:asciiTheme="minorHAnsi" w:hAnsiTheme="minorHAnsi" w:cstheme="minorBidi"/>
          <w:noProof/>
          <w:sz w:val="22"/>
          <w:szCs w:val="22"/>
        </w:rPr>
        <w:t>.</w:t>
      </w:r>
      <w:r w:rsidRPr="7EC1B78C">
        <w:rPr>
          <w:rFonts w:asciiTheme="minorHAnsi" w:hAnsiTheme="minorHAnsi" w:cstheme="minorBidi"/>
          <w:noProof/>
          <w:sz w:val="22"/>
          <w:szCs w:val="22"/>
        </w:rPr>
        <w:t xml:space="preserve"> </w:t>
      </w:r>
      <w:r w:rsidR="003D1D78">
        <w:rPr>
          <w:rFonts w:asciiTheme="minorHAnsi" w:hAnsiTheme="minorHAnsi" w:cstheme="minorBidi"/>
          <w:noProof/>
          <w:sz w:val="22"/>
          <w:szCs w:val="22"/>
        </w:rPr>
        <w:t>T</w:t>
      </w:r>
      <w:r w:rsidRPr="7EC1B78C">
        <w:rPr>
          <w:rFonts w:asciiTheme="minorHAnsi" w:hAnsiTheme="minorHAnsi" w:cstheme="minorBidi"/>
          <w:noProof/>
          <w:sz w:val="22"/>
          <w:szCs w:val="22"/>
        </w:rPr>
        <w:t xml:space="preserve">herefore integrative studies examining the microbial-immune-Bd interfaces are key to identifying targets for probiotic development that reduce the likelihood of ineffective probiotics </w:t>
      </w:r>
      <w:r w:rsidR="009551DF">
        <w:rPr>
          <w:rFonts w:asciiTheme="minorHAnsi" w:hAnsiTheme="minorHAnsi" w:cstheme="minorBidi"/>
          <w:noProof/>
          <w:sz w:val="22"/>
          <w:szCs w:val="22"/>
        </w:rPr>
        <w:fldChar w:fldCharType="begin"/>
      </w:r>
      <w:r w:rsidR="006159DD">
        <w:rPr>
          <w:rFonts w:asciiTheme="minorHAnsi" w:hAnsiTheme="minorHAnsi" w:cstheme="minorBidi"/>
          <w:noProof/>
          <w:sz w:val="22"/>
          <w:szCs w:val="22"/>
        </w:rPr>
        <w:instrText xml:space="preserve"> ADDIN ZOTERO_ITEM CSL_CITATION {"citationID":"7Zr9aBPt","properties":{"formattedCitation":"(5)","plainCitation":"(5)","noteIndex":0},"citationItems":[{"id":5872,"uris":["http://zotero.org/users/8183159/items/J6AGFHPW"],"itemData":{"id":5872,"type":"article-journal","abstract":"We designed two probiotic treatments to control chytridiomycosis caused by Batrachochytrium dendrobatidis (Bd) on infected Panamanian golden frogs (Atelopus zeteki), a species that is thought to be extinct in the wild due to Bd. The first approach disrupted the existing skin microbe community with antibiotics then exposed the frogs to a core golden frog skin microbe (Diaphorobacter sp.) that we genetically modified to produce high titers of violacein, a known antifungal compound. One day following probiotic treatment, the engineered Diaphorobacter and the violacein-producing pathway could be detected on the frogs but the treatment failed to improve frog survival when exposed to Bd. The second approach exposed frogs to the genetically modified bacterium mixed into a consortium with six other known anti-Bd bacteria isolated from captive A. zeteki, with no preliminary antibiotic treatment. The consortium treatment increased the frequency and abundance of three probiotic isolates (Janthinobacterium, Chryseobacterium, and Stenotrophomonas) and these persisted on the skin 4 weeks after probiotic treatment. There was a temporary increase in the frequency and abundance of three other probiotics isolates (Masillia, Serratia, and Pseudomonas) and the engineered Diaphorobacter isolate, but they subsequently disappeared from the skin. This treatment also failed to reduce frog mortality upon exposure.","citation-key":"Becker2021","container-title":"ISME Communications 2021 1:1","DOI":"10.1038/s43705-021-00044-w","ISSN":"2730-6151","issue":"1","page":"1-10","publisher":"Nature Publishing Group","title":"Genetically modifying skin microbe to produce violacein and augmenting microbiome did not defend Panamanian golden frogs from disease","volume":"1","author":[{"family":"Becker","given":"Matthew H."},{"family":"Brophy","given":"Jennifer A. N."},{"family":"Barrett","given":"Kevin"},{"family":"Bronikowski","given":"Ed"},{"family":"Evans","given":"Matthew"},{"family":"Glassey","given":"Emerson"},{"family":"Kaganer","given":"Alyssa W."},{"family":"Klocke","given":"Blake"},{"family":"Lassiter","given":"Elliot"},{"family":"Meyer","given":"Adam J."},{"family":"Muletz-Wolz","given":"Carly R."},{"family":"Fleischer","given":"Robert C."},{"family":"Voigt","given":"Christopher A."},{"family":"Gratwicke","given":"Brian"}],"issued":{"date-parts":[["2021",10,18]]}}}],"schema":"https://github.com/citation-style-language/schema/raw/master/csl-citation.json"} </w:instrText>
      </w:r>
      <w:r w:rsidR="009551DF">
        <w:rPr>
          <w:rFonts w:asciiTheme="minorHAnsi" w:hAnsiTheme="minorHAnsi" w:cstheme="minorBidi"/>
          <w:noProof/>
          <w:sz w:val="22"/>
          <w:szCs w:val="22"/>
        </w:rPr>
        <w:fldChar w:fldCharType="separate"/>
      </w:r>
      <w:r w:rsidR="00E87ABB">
        <w:rPr>
          <w:rFonts w:asciiTheme="minorHAnsi" w:hAnsiTheme="minorHAnsi" w:cstheme="minorBidi"/>
          <w:noProof/>
          <w:sz w:val="22"/>
          <w:szCs w:val="22"/>
        </w:rPr>
        <w:t>(5)</w:t>
      </w:r>
      <w:r w:rsidR="009551DF">
        <w:rPr>
          <w:rFonts w:asciiTheme="minorHAnsi" w:hAnsiTheme="minorHAnsi" w:cstheme="minorBidi"/>
          <w:noProof/>
          <w:sz w:val="22"/>
          <w:szCs w:val="22"/>
        </w:rPr>
        <w:fldChar w:fldCharType="end"/>
      </w:r>
      <w:r w:rsidR="009551DF">
        <w:rPr>
          <w:rFonts w:asciiTheme="minorHAnsi" w:hAnsiTheme="minorHAnsi" w:cstheme="minorBidi"/>
          <w:noProof/>
          <w:sz w:val="22"/>
          <w:szCs w:val="22"/>
        </w:rPr>
        <w:t xml:space="preserve">. </w:t>
      </w:r>
      <w:r w:rsidRPr="7EC1B78C">
        <w:rPr>
          <w:rFonts w:asciiTheme="minorHAnsi" w:hAnsiTheme="minorHAnsi" w:cstheme="minorBidi"/>
          <w:noProof/>
          <w:sz w:val="22"/>
          <w:szCs w:val="22"/>
        </w:rPr>
        <w:t xml:space="preserve">To find a way to increase the survival of highly susceptible species, we believe that a combination of </w:t>
      </w:r>
      <w:r w:rsidR="00B04AA0">
        <w:rPr>
          <w:rFonts w:asciiTheme="minorHAnsi" w:hAnsiTheme="minorHAnsi" w:cstheme="minorBidi"/>
          <w:noProof/>
          <w:sz w:val="22"/>
          <w:szCs w:val="22"/>
        </w:rPr>
        <w:t xml:space="preserve">alternative approaches are needed </w:t>
      </w:r>
      <w:r w:rsidR="00B04AA0">
        <w:rPr>
          <w:rFonts w:asciiTheme="minorHAnsi" w:hAnsiTheme="minorHAnsi" w:cstheme="minorBidi"/>
          <w:noProof/>
          <w:sz w:val="22"/>
          <w:szCs w:val="22"/>
        </w:rPr>
        <w:fldChar w:fldCharType="begin"/>
      </w:r>
      <w:r w:rsidR="00B449D3">
        <w:rPr>
          <w:rFonts w:asciiTheme="minorHAnsi" w:hAnsiTheme="minorHAnsi" w:cstheme="minorBidi"/>
          <w:noProof/>
          <w:sz w:val="22"/>
          <w:szCs w:val="22"/>
        </w:rPr>
        <w:instrText xml:space="preserve"> ADDIN ZOTERO_ITEM CSL_CITATION {"citationID":"RcL9pTmL","properties":{"formattedCitation":"(94)","plainCitation":"(94)","noteIndex":0},"citationItems":[{"id":12344,"uris":["http://zotero.org/groups/5389589/items/RBFHH94Q"],"itemData":{"id":12344,"type":"chapter","abstract":"Emerging infectious diseases are major threats to amphibian biodiversity. Significant advances in our understanding of these diseases have been made with respect to the pathogens themselves, how amphibian hosts respond to and defend against pathogens, and the environmental conditions that can influence the course of disease. Here, we review recent advances in our understanding of infectious diseases of amphibians related to these three components – pathogen, host, and environment, and identify information gaps as research priorities. In particular, we highlight current diagnostic tools, we focus on ecological dimensions with relevance to development effective management strategies and review current proposed intervention strategies. We also discuss human dimensions of amphibian diseases with a focus on management and policy actions that can confront these threats and potentially minimise disease-driven declines at local and global scales.","citation-key":"bletz_infectious_","collection-number":"57","collection-title":"Occasional Paper","container-title":"Amphibian Conservation Action Plan","language":"en","note":"GSCC: 0000431","publisher":"IUCN Species Survival Commission","publisher-place":"Gland","source":"Zotero","title":"Infectious diseases: Advances and challenges in addressing emerging pathogens","author":[{"family":"Bletz","given":"Molly C"},{"family":"Gratwicke","given":"Brian"},{"family":"Belasen","given":"Anat M"},{"family":"Catenazzi","given":"Alessandro"},{"family":"Duffus","given":"Amanda L J"},{"family":"Olson","given":"Deanna H"},{"family":"Toledo","given":"Felipe"},{"family":"Vasudevan","given":"Karthikeyan"}]}}],"schema":"https://github.com/citation-style-language/schema/raw/master/csl-citation.json"} </w:instrText>
      </w:r>
      <w:r w:rsidR="00B04AA0">
        <w:rPr>
          <w:rFonts w:asciiTheme="minorHAnsi" w:hAnsiTheme="minorHAnsi" w:cstheme="minorBidi"/>
          <w:noProof/>
          <w:sz w:val="22"/>
          <w:szCs w:val="22"/>
        </w:rPr>
        <w:fldChar w:fldCharType="separate"/>
      </w:r>
      <w:r w:rsidR="00B449D3">
        <w:rPr>
          <w:rFonts w:asciiTheme="minorHAnsi" w:hAnsiTheme="minorHAnsi" w:cstheme="minorBidi"/>
          <w:noProof/>
          <w:sz w:val="22"/>
          <w:szCs w:val="22"/>
        </w:rPr>
        <w:t>(94)</w:t>
      </w:r>
      <w:r w:rsidR="00B04AA0">
        <w:rPr>
          <w:rFonts w:asciiTheme="minorHAnsi" w:hAnsiTheme="minorHAnsi" w:cstheme="minorBidi"/>
          <w:noProof/>
          <w:sz w:val="22"/>
          <w:szCs w:val="22"/>
        </w:rPr>
        <w:fldChar w:fldCharType="end"/>
      </w:r>
      <w:r w:rsidR="004D25D0">
        <w:rPr>
          <w:rFonts w:asciiTheme="minorHAnsi" w:hAnsiTheme="minorHAnsi" w:cstheme="minorBidi"/>
          <w:noProof/>
          <w:sz w:val="22"/>
          <w:szCs w:val="22"/>
        </w:rPr>
        <w:t xml:space="preserve">. </w:t>
      </w:r>
    </w:p>
    <w:p w14:paraId="76D4664E" w14:textId="6BE6011B" w:rsidR="1EB1AC28" w:rsidRDefault="1EB1AC28" w:rsidP="1EB1AC28">
      <w:pPr>
        <w:spacing w:line="480" w:lineRule="auto"/>
        <w:rPr>
          <w:rFonts w:asciiTheme="minorHAnsi" w:hAnsiTheme="minorHAnsi" w:cstheme="minorBidi"/>
          <w:noProof/>
          <w:sz w:val="22"/>
          <w:szCs w:val="22"/>
        </w:rPr>
      </w:pPr>
    </w:p>
    <w:p w14:paraId="06C2D225" w14:textId="77777777" w:rsidR="00141324" w:rsidRPr="009862C5" w:rsidRDefault="00141324" w:rsidP="00141324">
      <w:pPr>
        <w:spacing w:line="480" w:lineRule="auto"/>
        <w:rPr>
          <w:rFonts w:asciiTheme="minorHAnsi" w:hAnsiTheme="minorHAnsi" w:cstheme="minorHAnsi"/>
          <w:b/>
          <w:bCs/>
          <w:noProof/>
          <w:sz w:val="22"/>
          <w:szCs w:val="22"/>
        </w:rPr>
      </w:pPr>
      <w:r w:rsidRPr="009862C5">
        <w:rPr>
          <w:rFonts w:asciiTheme="minorHAnsi" w:hAnsiTheme="minorHAnsi" w:cstheme="minorHAnsi"/>
          <w:b/>
          <w:bCs/>
          <w:noProof/>
          <w:sz w:val="22"/>
          <w:szCs w:val="22"/>
        </w:rPr>
        <w:t>Conclusion</w:t>
      </w:r>
    </w:p>
    <w:p w14:paraId="4191AAE8" w14:textId="78BF454A" w:rsidR="0030722A" w:rsidRPr="009862C5" w:rsidRDefault="2DAD1D96" w:rsidP="4781E807">
      <w:pPr>
        <w:spacing w:line="480" w:lineRule="auto"/>
        <w:rPr>
          <w:rFonts w:asciiTheme="minorHAnsi" w:hAnsiTheme="minorHAnsi" w:cstheme="minorBidi"/>
          <w:noProof/>
          <w:sz w:val="22"/>
          <w:szCs w:val="22"/>
        </w:rPr>
      </w:pPr>
      <w:r w:rsidRPr="2DAD1D96">
        <w:rPr>
          <w:rFonts w:asciiTheme="minorHAnsi" w:hAnsiTheme="minorHAnsi" w:cstheme="minorBidi"/>
          <w:noProof/>
          <w:sz w:val="22"/>
          <w:szCs w:val="22"/>
        </w:rPr>
        <w:t xml:space="preserve">Our results illustrate that the </w:t>
      </w:r>
      <w:r w:rsidR="001A5E97">
        <w:rPr>
          <w:rFonts w:asciiTheme="minorHAnsi" w:hAnsiTheme="minorHAnsi" w:cstheme="minorBidi"/>
          <w:noProof/>
          <w:sz w:val="22"/>
          <w:szCs w:val="22"/>
        </w:rPr>
        <w:t xml:space="preserve">skin </w:t>
      </w:r>
      <w:r w:rsidRPr="2DAD1D96">
        <w:rPr>
          <w:rFonts w:asciiTheme="minorHAnsi" w:hAnsiTheme="minorHAnsi" w:cstheme="minorBidi"/>
          <w:noProof/>
          <w:sz w:val="22"/>
          <w:szCs w:val="22"/>
        </w:rPr>
        <w:t xml:space="preserve">microbiome, </w:t>
      </w:r>
      <w:r w:rsidR="00E20EB9">
        <w:rPr>
          <w:rFonts w:asciiTheme="minorHAnsi" w:hAnsiTheme="minorHAnsi" w:cstheme="minorBidi"/>
          <w:noProof/>
          <w:sz w:val="22"/>
          <w:szCs w:val="22"/>
        </w:rPr>
        <w:t>Bd</w:t>
      </w:r>
      <w:r w:rsidRPr="2DAD1D96">
        <w:rPr>
          <w:rFonts w:asciiTheme="minorHAnsi" w:hAnsiTheme="minorHAnsi" w:cstheme="minorBidi"/>
          <w:noProof/>
          <w:sz w:val="22"/>
          <w:szCs w:val="22"/>
        </w:rPr>
        <w:t xml:space="preserve"> and the host immune system are intimately connected. Even though the microbiome shifted to a state that included higher relative abundance of anti-Bd bacteria this did not confer a survival benefit, and may simply have be</w:t>
      </w:r>
      <w:r w:rsidR="00E8711B">
        <w:rPr>
          <w:rFonts w:asciiTheme="minorHAnsi" w:hAnsiTheme="minorHAnsi" w:cstheme="minorBidi"/>
          <w:noProof/>
          <w:sz w:val="22"/>
          <w:szCs w:val="22"/>
        </w:rPr>
        <w:t>en</w:t>
      </w:r>
      <w:r w:rsidRPr="2DAD1D96">
        <w:rPr>
          <w:rFonts w:asciiTheme="minorHAnsi" w:hAnsiTheme="minorHAnsi" w:cstheme="minorBidi"/>
          <w:noProof/>
          <w:sz w:val="22"/>
          <w:szCs w:val="22"/>
        </w:rPr>
        <w:t xml:space="preserve"> more indicative of </w:t>
      </w:r>
      <w:r w:rsidRPr="2DAD1D96">
        <w:rPr>
          <w:rFonts w:asciiTheme="minorHAnsi" w:hAnsiTheme="minorHAnsi" w:cstheme="minorBidi"/>
          <w:noProof/>
          <w:sz w:val="22"/>
          <w:szCs w:val="22"/>
        </w:rPr>
        <w:lastRenderedPageBreak/>
        <w:t xml:space="preserve">shifts in the host immune system. The infection-clearance-infection regime we tried </w:t>
      </w:r>
      <w:r w:rsidR="00222707">
        <w:rPr>
          <w:rFonts w:asciiTheme="minorHAnsi" w:hAnsiTheme="minorHAnsi" w:cstheme="minorBidi"/>
          <w:noProof/>
          <w:sz w:val="22"/>
          <w:szCs w:val="22"/>
        </w:rPr>
        <w:t>did not confer a survival benefit</w:t>
      </w:r>
      <w:r w:rsidRPr="2DAD1D96">
        <w:rPr>
          <w:rFonts w:asciiTheme="minorHAnsi" w:hAnsiTheme="minorHAnsi" w:cstheme="minorBidi"/>
          <w:noProof/>
          <w:sz w:val="22"/>
          <w:szCs w:val="22"/>
        </w:rPr>
        <w:t xml:space="preserve"> and we speculate it is only effective in moderately susceptible species</w:t>
      </w:r>
      <w:r w:rsidR="00B04AA0">
        <w:rPr>
          <w:rFonts w:asciiTheme="minorHAnsi" w:hAnsiTheme="minorHAnsi" w:cstheme="minorBidi"/>
          <w:noProof/>
          <w:sz w:val="22"/>
          <w:szCs w:val="22"/>
        </w:rPr>
        <w:t xml:space="preserve"> </w:t>
      </w:r>
      <w:r w:rsidR="00B04AA0">
        <w:rPr>
          <w:rFonts w:asciiTheme="minorHAnsi" w:hAnsiTheme="minorHAnsi" w:cstheme="minorBidi"/>
          <w:noProof/>
          <w:sz w:val="22"/>
          <w:szCs w:val="22"/>
        </w:rPr>
        <w:fldChar w:fldCharType="begin"/>
      </w:r>
      <w:r w:rsidR="00B449D3">
        <w:rPr>
          <w:rFonts w:asciiTheme="minorHAnsi" w:hAnsiTheme="minorHAnsi" w:cstheme="minorBidi"/>
          <w:noProof/>
          <w:sz w:val="22"/>
          <w:szCs w:val="22"/>
        </w:rPr>
        <w:instrText xml:space="preserve"> ADDIN ZOTERO_ITEM CSL_CITATION {"citationID":"e78zUZDD","properties":{"formattedCitation":"(19,95)","plainCitation":"(19,95)","noteIndex":0},"citationItems":[{"id":5950,"uris":["http://zotero.org/users/8183159/items/C54JBMST","http://zotero.org/users/8183159/items/DXVSZQB3"],"itemData":{"id":5950,"type":"article-journal","abstract":"Amphibian biodiversity is experiencing ongoing declines due in part to the infectious disease, chytridiomycosis. Efforts to mitigate the effects of the causal agent of chytridiomycosis, Batrachochytrium dendrobatidis (Bd), in the wild have not been wholly effective. Translocations are an important management tool for amphibians, and immunizations represent a possible strategy for preparing amphibians for release across a landscape where Bd exists. We evaluated the utility of using an isolate of Bd that was shown to be hypovirulent to the relict leopard frog Rana onca as a transmissible inoculum for promoting chytridiomycosis resistance. We conducted a co-housing experiment to determine if the isolate we used could be passed between R. onca without increasing in virulence. We then followed with an experiment where frogs that were exposed to the hypovirulent isolate were then challenged with a virulent Bd isolate. In other experiments, we evaluated whether Bd infections followed by clearance with itraconazole (an antifungal) could increase resistance to chytridiomycosis in R. onca and Rana pipiens (northern leopard frog). We found that our hypovirulent Bd inoculation was transmissible between hosts, did not cause chytridiomycosis and was effective at imparting long-term chytridiomycosis resistance. Rana onca inoculated with the hypovirulent Bd isolate had lower pathogen burdens and were 55 times more likely to survive infections by a virulent Bd isolate than non-inoculated frogs. For both species, prior exposure to Bd followed by infection clearance with itraconazole resulted in significantly increased survivorship and lower pathogen burdens as compared to controls that had no prior Bd exposure. Rana onca that were previously exposed to Bd were more than 15 times more likely to survive infections. Previously exposed R. pipiens survived in higher proportions than controls, but with weaker statistical support. Synthesis and Applications. Translocations are an important management tool for many amphibian conservation programs. For amphibian species that have experienced declines due to the disease chytridiomycosis [caused by the pathogen Batrachochytrium dendrobatidis (Bd)], the success of translocations may be limited due to the persistent threat of the disease in the wild. We completed a series of experiments aimed at increasing amphibian resistance to chytridiomycosis using low-virulence, transmissible Bd inoculations and Bd infection followed by clearance with an antifungal (itraconazole). Our low-virulence Bd inoculations were transmissible, did not cause disease and provided long-term resistance against chytridiomycosis. Similarly, infection with Bd and clearance with itraconazole led to increased resistance to chytridiomycosis in subsequent exposures. The use of a low-virulence Bd inoculation could be further developed into a transmissible vaccine, propagating the protective benefits beyond individuals that can be directly inoculated. At this stage, we advise that using the alternative approach of infecting frogs with Bd from translocation sites followed by clearance of infections with itraconazole may be sensible for increasing host resistance to chytridiomycosis.","container-title":"Journal of Applied Ecology","DOI":"10.1111/1365-2664.13974","ISSN":"13652664","issue":"10","page":"2053-2064","title":"Amphibian resistance to chytridiomycosis increases following low-virulence chytrid fungal infection or drug-mediated clearance","volume":"58","author":[{"family":"Waddle","given":"Anthony W."},{"family":"Rivera","given":"Rebeca"},{"family":"Rice","given":"Hannah"},{"family":"Keenan","given":"Emma C."},{"family":"Rezaei","given":"Ghazal"},{"family":"Levy","given":"Joshua E."},{"family":"Vasquez","given":"Yesenia S."},{"family":"Sai","given":"Marlai"},{"family":"Hill","given":"Jessica"},{"family":"Zmuda","given":"Alexandra"},{"family":"Lambreghts","given":"Yorick"},{"family":"Jaeger","given":"Jef R."}],"issued":{"date-parts":[["2021"]]}}},{"id":18547,"uris":["http://zotero.org/groups/6008588/items/PST6JXT8"],"itemData":{"id":18547,"type":"article-journal","citation-key":"McMahon2014","container-title":"Nature","DOI":"10.1038/nature13491","ISSN":"0028-0836","issue":"7508","page":"224-227","publisher":"Nature Publishing Group","title":"Amphibians acquire resistance to live and dead fungus overcoming fungal immunosuppression","volume":"511","author":[{"family":"McMahon","given":"Taegan A."},{"family":"Sears","given":"Brittany F."},{"family":"Venesky","given":"Matthew D."},{"family":"Bessler","given":"Scott M."},{"family":"Brown","given":"Jenise M."},{"family":"Deutsch","given":"Kaitlin"},{"family":"Halstead","given":"Neal T."},{"family":"Lentz","given":"Garrett"},{"family":"Tenouri","given":"Nadia"},{"family":"Young","given":"Suzanne"},{"family":"Civitello","given":"David J."},{"family":"Ortega","given":"Nicole"},{"family":"Fites","given":"J. Scott"},{"family":"Reinert","given":"Laura K."},{"family":"Rollins-Smith","given":"Louise A."},{"family":"Raffel","given":"Thomas R."},{"family":"Rohr","given":"Jason R."}],"issued":{"date-parts":[["2014"]]}}}],"schema":"https://github.com/citation-style-language/schema/raw/master/csl-citation.json"} </w:instrText>
      </w:r>
      <w:r w:rsidR="00B04AA0">
        <w:rPr>
          <w:rFonts w:asciiTheme="minorHAnsi" w:hAnsiTheme="minorHAnsi" w:cstheme="minorBidi"/>
          <w:noProof/>
          <w:sz w:val="22"/>
          <w:szCs w:val="22"/>
        </w:rPr>
        <w:fldChar w:fldCharType="separate"/>
      </w:r>
      <w:r w:rsidR="00B449D3">
        <w:rPr>
          <w:rFonts w:asciiTheme="minorHAnsi" w:hAnsiTheme="minorHAnsi" w:cstheme="minorBidi"/>
          <w:noProof/>
          <w:sz w:val="22"/>
          <w:szCs w:val="22"/>
        </w:rPr>
        <w:t>(19,95)</w:t>
      </w:r>
      <w:r w:rsidR="00B04AA0">
        <w:rPr>
          <w:rFonts w:asciiTheme="minorHAnsi" w:hAnsiTheme="minorHAnsi" w:cstheme="minorBidi"/>
          <w:noProof/>
          <w:sz w:val="22"/>
          <w:szCs w:val="22"/>
        </w:rPr>
        <w:fldChar w:fldCharType="end"/>
      </w:r>
      <w:r w:rsidRPr="2DAD1D96">
        <w:rPr>
          <w:rFonts w:asciiTheme="minorHAnsi" w:hAnsiTheme="minorHAnsi" w:cstheme="minorBidi"/>
          <w:noProof/>
          <w:sz w:val="22"/>
          <w:szCs w:val="22"/>
        </w:rPr>
        <w:t>, not those that typically experience 100</w:t>
      </w:r>
      <w:r w:rsidR="00BC20B7">
        <w:rPr>
          <w:rFonts w:asciiTheme="minorHAnsi" w:hAnsiTheme="minorHAnsi" w:cstheme="minorBidi"/>
          <w:noProof/>
          <w:sz w:val="22"/>
          <w:szCs w:val="22"/>
        </w:rPr>
        <w:t xml:space="preserve"> </w:t>
      </w:r>
      <w:r w:rsidRPr="2DAD1D96">
        <w:rPr>
          <w:rFonts w:asciiTheme="minorHAnsi" w:hAnsiTheme="minorHAnsi" w:cstheme="minorBidi"/>
          <w:noProof/>
          <w:sz w:val="22"/>
          <w:szCs w:val="22"/>
        </w:rPr>
        <w:t xml:space="preserve">% mortality in lab experiments. </w:t>
      </w:r>
      <w:r w:rsidR="002D49B4">
        <w:rPr>
          <w:rFonts w:asciiTheme="minorHAnsi" w:eastAsia="Arial" w:hAnsiTheme="minorHAnsi" w:cstheme="minorBidi"/>
          <w:sz w:val="22"/>
          <w:szCs w:val="22"/>
        </w:rPr>
        <w:t>Our observations are consistent with prior studies showing that the</w:t>
      </w:r>
      <w:r w:rsidRPr="2DAD1D96">
        <w:rPr>
          <w:rFonts w:asciiTheme="minorHAnsi" w:eastAsia="Arial" w:hAnsiTheme="minorHAnsi" w:cstheme="minorBidi"/>
          <w:sz w:val="22"/>
          <w:szCs w:val="22"/>
        </w:rPr>
        <w:t xml:space="preserve"> compounds Bd is producing are highly effective in combating specific immune responses</w:t>
      </w:r>
      <w:r w:rsidR="00924828">
        <w:rPr>
          <w:rFonts w:asciiTheme="minorHAnsi" w:eastAsia="Arial" w:hAnsiTheme="minorHAnsi" w:cstheme="minorBidi"/>
          <w:sz w:val="22"/>
          <w:szCs w:val="22"/>
        </w:rPr>
        <w:t xml:space="preserve"> </w:t>
      </w:r>
      <w:r w:rsidR="002D49B4">
        <w:rPr>
          <w:rFonts w:asciiTheme="minorHAnsi" w:eastAsia="Arial" w:hAnsiTheme="minorHAnsi" w:cstheme="minorBidi"/>
          <w:sz w:val="22"/>
          <w:szCs w:val="22"/>
        </w:rPr>
        <w:fldChar w:fldCharType="begin"/>
      </w:r>
      <w:r w:rsidR="006159DD">
        <w:rPr>
          <w:rFonts w:asciiTheme="minorHAnsi" w:eastAsia="Arial" w:hAnsiTheme="minorHAnsi" w:cstheme="minorBidi"/>
          <w:sz w:val="22"/>
          <w:szCs w:val="22"/>
        </w:rPr>
        <w:instrText xml:space="preserve"> ADDIN ZOTERO_ITEM CSL_CITATION {"citationID":"y9RD3P1p","properties":{"formattedCitation":"(73,74)","plainCitation":"(73,74)","noteIndex":0},"citationItems":[{"id":18721,"uris":["http://zotero.org/groups/6008588/items/R25W296C"],"itemData":{"id":18721,"type":"article-journal","abstract":"Batrachochytrium dendrobatidis is a fungal pathogen in the phylum Chytridiomycota that causes the skin disease chytridiomycosis. Chytridiomycosis is considered an emerging infectious disease linked to worldwide amphibian declines and extinctions. Although amphibians have well-developed immune defenses, clearance of this pathogen from the skin is often impaired. Previously, we showed that the adaptive immune system is involved in the control of the pathogen, but B. dendrobatidis releases factors that inhibit in vitro and in vivo lymphocyte responses and induce lymphocyte apoptosis. Little is known about the nature of the inhibitory factors released by this fungus. Here, we describe the isolation and characterization of three fungal metabolites produced by B. dendrobatidis but not by the closely related nonpathogenic chytrid Homolaphlyctis polyrhiza. These metabolites are methylthioadenosine (MTA), tryptophan, and an oxidized product of tryptophan, kynurenine (Kyn). Independently, both MTA and Kyn inhibit the survival and proliferation of amphibian lymphocytes and the Jurkat human T cell leukemia cell line. However, working together, they become effective at much lower concentrations. We hypothesize that B. dendrobatidis can adapt its metabolism to release products that alter the local environment in the skin to inhibit immunity and enhance the survival of the pathogen.","container-title":"Infection and Immunity","DOI":"10.1128/iai.00877-15","issue":"12","page":"4565-4570","publisher":"American Society for Microbiology","source":"journals.asm.org (Atypon)","title":"Immunomodulatory Metabolites Released by the Frog-Killing Fungus &lt;i&gt;Batrachochytrium dendrobatidis&lt;/i&gt;","volume":"83","author":[{"family":"Rollins-Smith","given":"Louise A."},{"family":"Fites","given":"J. Scott"},{"family":"Reinert","given":"Laura K."},{"family":"Shiakolas","given":"Andrea R."},{"family":"Umile","given":"Thomas P."},{"family":"Minbiole","given":"Kevin P. C."}],"issued":{"date-parts":[["2015",11,10]]}}},{"id":4476,"uris":["http://zotero.org/users/8183159/items/W7KMXWMX"],"itemData":{"id":4476,"type":"article-journal","citation-key":"Fites2013","container-title":"Science","DOI":"10.5061/dryad.878m3","ISSN":"0036-8075","page":"366-369","title":"The Invasive Chytrid Fungus of Amphibians Paralyses Lymphocyte Responses","volume":"342","author":[{"family":"Fites","given":"J. Scott"},{"family":"Ramsey","given":"Jeremy P."},{"family":"Holden","given":"Whitney M."},{"family":"Collier","given":"Sarah P."},{"family":"Sutherland","given":"Danica M."},{"family":"Reinert","given":"Laura K."},{"family":"Gayek","given":"A. Sophia"},{"family":"Dermody","given":"Terence S."},{"family":"Aune","given":"Thomas M."},{"family":"Oswald-Richter","given":"Kyra"},{"family":"Rollins-Smith","given":"Louise A."}],"issued":{"date-parts":[["2013"]]}}}],"schema":"https://github.com/citation-style-language/schema/raw/master/csl-citation.json"} </w:instrText>
      </w:r>
      <w:r w:rsidR="002D49B4">
        <w:rPr>
          <w:rFonts w:asciiTheme="minorHAnsi" w:eastAsia="Arial" w:hAnsiTheme="minorHAnsi" w:cstheme="minorBidi"/>
          <w:sz w:val="22"/>
          <w:szCs w:val="22"/>
        </w:rPr>
        <w:fldChar w:fldCharType="separate"/>
      </w:r>
      <w:r w:rsidR="00E865C5">
        <w:rPr>
          <w:rFonts w:asciiTheme="minorHAnsi" w:eastAsia="Arial" w:hAnsiTheme="minorHAnsi" w:cstheme="minorBidi"/>
          <w:noProof/>
          <w:sz w:val="22"/>
          <w:szCs w:val="22"/>
        </w:rPr>
        <w:t>(73,74)</w:t>
      </w:r>
      <w:r w:rsidR="002D49B4">
        <w:rPr>
          <w:rFonts w:asciiTheme="minorHAnsi" w:eastAsia="Arial" w:hAnsiTheme="minorHAnsi" w:cstheme="minorBidi"/>
          <w:sz w:val="22"/>
          <w:szCs w:val="22"/>
        </w:rPr>
        <w:fldChar w:fldCharType="end"/>
      </w:r>
      <w:r w:rsidR="002D49B4">
        <w:rPr>
          <w:rFonts w:asciiTheme="minorHAnsi" w:eastAsia="Arial" w:hAnsiTheme="minorHAnsi" w:cstheme="minorBidi"/>
          <w:sz w:val="22"/>
          <w:szCs w:val="22"/>
        </w:rPr>
        <w:t xml:space="preserve">. </w:t>
      </w:r>
      <w:r w:rsidRPr="2DAD1D96">
        <w:rPr>
          <w:rFonts w:asciiTheme="minorHAnsi" w:hAnsiTheme="minorHAnsi" w:cstheme="minorBidi"/>
          <w:noProof/>
          <w:sz w:val="22"/>
          <w:szCs w:val="22"/>
        </w:rPr>
        <w:t xml:space="preserve">We also demonstrated that we can conduct longitudinal host gene expression studies using non-sacrificial longitudinal designs with amphibian toe-clips. This has been problematic for previous Bd work because attributing gene expression to disease outcomes must be inferred at a population level with sacrificial designs </w:t>
      </w:r>
      <w:r w:rsidR="6EB43BDA" w:rsidRPr="2DAD1D96">
        <w:rPr>
          <w:rFonts w:asciiTheme="minorHAnsi" w:hAnsiTheme="minorHAnsi" w:cstheme="minorBidi"/>
          <w:noProof/>
          <w:sz w:val="22"/>
          <w:szCs w:val="22"/>
        </w:rPr>
        <w:fldChar w:fldCharType="begin"/>
      </w:r>
      <w:r w:rsidR="00B449D3">
        <w:rPr>
          <w:rFonts w:asciiTheme="minorHAnsi" w:hAnsiTheme="minorHAnsi" w:cstheme="minorBidi"/>
          <w:noProof/>
          <w:sz w:val="22"/>
          <w:szCs w:val="22"/>
        </w:rPr>
        <w:instrText xml:space="preserve"> ADDIN ZOTERO_ITEM CSL_CITATION {"citationID":"TPokFXey","properties":{"formattedCitation":"(26,28,72,96)","plainCitation":"(26,28,72,96)","noteIndex":0},"citationItems":[{"id":5283,"uris":["http://zotero.org/users/8183159/items/P7QJWES7"],"itemData":{"id":5283,"type":"article-journal","abstract":"The emerging amphibian disease chytridiomycosis is caused by the fungal pathogen Batrachochytrium dendrobatidis (Bd). Amphibian populations and species differ in susceptibility to Bd, yet we know surprisingly little about the genetic basis of this natural variation. MHC loci encode peptides that initiate acquired immunity in vertebrates, making them likely candidates for determining disease susceptibility. However, MHC genes have never been characterized in the context of chytridiomycosis. Here, we performed experimental Bd infections in laboratory-reared frogs collected from five populations that show natural variation in Bd susceptibility. We found that alleles of an expressed MHC class IIB locus associate with survival following Bd infection. Across populations, MHC heterozygosity was a significant predictor of survival. Within populations, MHC heterozygotes and individuals bearing MHC allele Q had a significantly reduced risk of death, and we detected a significant signal of positive selection along the evolutionary lineage leading to allele Q. Our findings demonstrate that immunogenetic variation affects chytridiomycosis survival under controlled experimental conditions, confirming that host genetic polymorphisms contribute to chytridiomycosis resistance.","citation-key":"Savage2011","container-title":"Proceedings of the National Academy of Sciences of the United States of America","DOI":"10.1073/pnas.1106893108","ISSN":"1091-6490","issue":"40","note":"ISBN: 1091-6490 (Electronic)\\r0027-8424 (Linking)","page":"16705-10","PMID":"21949385","publisher":"National Academy of Sciences","title":"MHC genotypes associate with resistance to a frog-killing fungus.","volume":"108","author":[{"family":"Savage","given":"Anna E"},{"family":"Zamudio","given":"Kelly R"}],"issued":{"date-parts":[["2011",10,4]]}}},{"id":5808,"uris":["http://zotero.org/users/8183159/items/CAM2NQZ3"],"itemData":{"id":5808,"type":"article-journal","abstract":"The disease chytridiomycosis caused by the fungus Bd has devastated amphibian populations worldwide. Functional genomic contributions to host susceptibility remain enigmatic and vary between species and populations. We conducted experimental Bd infections in Rana yavapaiensis, a species with intraspecific variation in chytridiomycosis susceptibility, to assess the skin and spleen transcriptomic response to infection over time. We predicted that increased immune gene expression would be associated with a positive disease outcome, but we instead found that surviving frogs had significantly reduced immune gene expression compared to susceptible frogs and to uninfected controls. MHC class IIβ gene expression was also significantly higher in susceptible frogs compared to surviving frogs. Furthermore, susceptible frogs expressed a significantly larger number of distinct class IIβ alleles, demonstrating a negative correlation between class IIβ expression, functional diversity, and survival. Expression of the MHC class IIβ locus previously associated with Bd disease outcomes was a significant predictor of Bd infection intensity at early infection stages but not at late infection stages, suggesting initial MHC-linked immune processes are important for ultimate disease outcomes. We infer through disease association and phylogenetic analysis that certain MHC variants are linked to the immune expression that was negatively associated with survival, and we hypothesize that frogs that did not express these alleles could better survive infections. Our study finds that MHC expression at early and late infection stages predicts Bd infection intensity, and suggests that generating a sustained immune response against Bd may be counterproductive for surviving chytridiomycosis in this partially susceptible species.","citation-key":"Savage2020","container-title":"Molecular Ecology","DOI":"10.1111/mec.15533","ISSN":"1365294X","issue":"15","page":"2889-2903","PMID":"32700351","publisher":"Blackwell Publishing Ltd","title":"Sustained immune activation is associated with susceptibility to the amphibian chytrid fungus","volume":"29","author":[{"family":"Savage","given":"Anna E."},{"family":"Gratwicke","given":"Brian"},{"family":"Hope","given":"Katharine"},{"family":"Fleischer","given":"Robert C."}],"issued":{"date-parts":[["2020",8,1]]}}},{"id":18651,"uris":["http://zotero.org/groups/6008588/items/BSX872JF"],"itemData":{"id":18651,"type":"article-journal","citation-key":"Ellison2014a","DOI":"10.1093/gbe/evu285","issue":"1","note":"ISBN: 2013040120162","page":"286-298","title":"GBE More than Skin Deep : Functional Genomic Basis for Resistance to Amphibian Chytridiomycosis","volume":"7","author":[{"family":"Ellison","given":"Amy R"},{"family":"Tunstall","given":"Tate"},{"family":"Direnzo","given":"Graziella V"},{"family":"Hughey","given":"Myra C"},{"family":"Rebollar","given":"Eria A"},{"family":"Belden","given":"Lisa K"},{"family":"Lips","given":"Karen R"},{"family":"Zamudio","given":"Kelly R"},{"family":"Harris","given":"Reid N"},{"family":"Iba","given":"Roberto"}],"issued":{"date-parts":[["2014"]]}}},{"id":2574,"uris":["http://zotero.org/users/8183159/items/BISUC43H","http://zotero.org/users/8183159/items/57YL9BQ5"],"itemData":{"id":2574,"type":"article-journal","abstract":"Hundreds of amphibian species have declined worldwide after the emergence of the amphibian fungal pathogen Batrachochytrium dendrobatidis (Bd). Despite captive breeding efforts, it is unlikely that wild populations for many species will be reestablished unless Bd resistance increases. We performed a Bd-challenge study in the functionally extinct southern corroboree frog Pseudophryne corroboree to investigate differences in Bd susceptibility among individuals and populations, identify genetic [major histocompatibility complex (MHC) class I] and genomewide variants associated with Bd resistance, and measure genetic diversity and population genetic structure. We found three MHC variants and one MHC supertype associated with Bd infection load and survival along with a suggestively associated single nucleotide polymorphism. We also showed that genome-wide heterozygosity is associated with increased survival. Additionally, we found evidence of signiﬁcant population structure among the four P. corroboree populations studied and high MHC genetic diversity. Our results indicate that there are immunogenetic differences among captive southern corroboree frogs; such differences could be manipulated to increase disease resistance and mitigate the signiﬁcant threat of chytridiomycosis. These results demonstrate a potential long-term solution to chytridiomycosis that could include breeding more resistant individuals and returning them to the wild.","container-title":"Animal Conservation","DOI":"10.1111/acv.12459","ISSN":"1367-9430, 1469-1795","issue":"3","journalAbbreviation":"Anim Conserv","language":"en","page":"238-250","source":"DOI.org (Crossref)","title":"Genetic potential for disease resistance in critically endangered amphibians decimated by chytridiomycosis","volume":"22","author":[{"family":"Kosch","given":"T. A."},{"family":"Silva","given":"C. N. S."},{"family":"Brannelly","given":"L. A."},{"family":"Roberts","given":"A. A."},{"family":"Lau","given":"Q."},{"family":"Marantelli","given":"G."},{"family":"Berger","given":"L."},{"family":"Skerratt","given":"L. F."}],"issued":{"date-parts":[["2019",6]]}}}],"schema":"https://github.com/citation-style-language/schema/raw/master/csl-citation.json"} </w:instrText>
      </w:r>
      <w:r w:rsidR="6EB43BDA" w:rsidRPr="2DAD1D96">
        <w:rPr>
          <w:rFonts w:asciiTheme="minorHAnsi" w:hAnsiTheme="minorHAnsi" w:cstheme="minorBidi"/>
          <w:noProof/>
          <w:sz w:val="22"/>
          <w:szCs w:val="22"/>
        </w:rPr>
        <w:fldChar w:fldCharType="separate"/>
      </w:r>
      <w:r w:rsidR="00B449D3">
        <w:rPr>
          <w:rFonts w:asciiTheme="minorHAnsi" w:hAnsiTheme="minorHAnsi" w:cstheme="minorBidi"/>
          <w:noProof/>
          <w:sz w:val="22"/>
          <w:szCs w:val="22"/>
        </w:rPr>
        <w:t>(26,28,72,96)</w:t>
      </w:r>
      <w:r w:rsidR="6EB43BDA" w:rsidRPr="2DAD1D96">
        <w:rPr>
          <w:rFonts w:asciiTheme="minorHAnsi" w:hAnsiTheme="minorHAnsi" w:cstheme="minorBidi"/>
          <w:noProof/>
          <w:sz w:val="22"/>
          <w:szCs w:val="22"/>
        </w:rPr>
        <w:fldChar w:fldCharType="end"/>
      </w:r>
      <w:r w:rsidRPr="2DAD1D96">
        <w:rPr>
          <w:rFonts w:asciiTheme="minorHAnsi" w:hAnsiTheme="minorHAnsi" w:cstheme="minorBidi"/>
          <w:noProof/>
          <w:sz w:val="22"/>
          <w:szCs w:val="22"/>
        </w:rPr>
        <w:t xml:space="preserve">. While 100 % of infected animals died in this experiment and prior infection was detrimental to this species, we found that the severity of Bd infection was correlated at first and second infections, implying there is individual variation in susceptibility that may be relevant to genome wide association studies </w:t>
      </w:r>
      <w:r w:rsidR="6EB43BDA" w:rsidRPr="2DAD1D96">
        <w:rPr>
          <w:rFonts w:asciiTheme="minorHAnsi" w:hAnsiTheme="minorHAnsi" w:cstheme="minorBidi"/>
          <w:noProof/>
          <w:sz w:val="22"/>
          <w:szCs w:val="22"/>
        </w:rPr>
        <w:fldChar w:fldCharType="begin"/>
      </w:r>
      <w:r w:rsidR="00B449D3">
        <w:rPr>
          <w:rFonts w:asciiTheme="minorHAnsi" w:hAnsiTheme="minorHAnsi" w:cstheme="minorBidi"/>
          <w:noProof/>
          <w:sz w:val="22"/>
          <w:szCs w:val="22"/>
        </w:rPr>
        <w:instrText xml:space="preserve"> ADDIN ZOTERO_ITEM CSL_CITATION {"citationID":"5Xj08S1P","properties":{"formattedCitation":"(97)","plainCitation":"(97)","noteIndex":0},"citationItems":[{"id":2569,"uris":["http://zotero.org/users/8183159/items/RRIABKVS"],"itemData":{"id":2569,"type":"article-journal","abstract":"The global rate of wildlife extinctions is accelerating, and the persistence of many species requires conservation breeding programs. A central paradigm of these programs is to preserve the genetic diversity of the founder populations. However, this may preserve original characteristics that make them vulnerable to extinction. We introduce targeted genetic intervention (TGI) as an alternative approach that promotes traits that enable species to persist in the face of threats by changing the incidence of alleles that impact on fitness. The TGI toolkit includes methods with established efficacy in model organisms and agriculture but are largely untried for conservation, such as synthetic biology and artificial selection. We explore TGI approaches as a species-restoration tool for intractable threats including infectious disease and climate change.","container-title":"Trends in ecology &amp; evolution","DOI":"10.1016/j.tree.2021.12.003","ISSN":"0169-5347","issue":"4","language":"English","note":"PubAg AGID: 7595972","page":"332-345","source":"PubAg","title":"Genetic approaches for increasing fitness in endangered species","volume":"37","author":[{"family":"Kosch","given":"Tiffany A"},{"family":"Waddle","given":"Anthony W."},{"family":"Cooper","given":"C"},{"family":"Zenger","given":"K R"},{"family":"Garrick","given":"Dorian J."},{"family":"Berger","given":"Lee"},{"family":"Skerratt","given":"Lee F."}],"issued":{"date-parts":[["2022"]]}}}],"schema":"https://github.com/citation-style-language/schema/raw/master/csl-citation.json"} </w:instrText>
      </w:r>
      <w:r w:rsidR="6EB43BDA" w:rsidRPr="2DAD1D96">
        <w:rPr>
          <w:rFonts w:asciiTheme="minorHAnsi" w:hAnsiTheme="minorHAnsi" w:cstheme="minorBidi"/>
          <w:noProof/>
          <w:sz w:val="22"/>
          <w:szCs w:val="22"/>
        </w:rPr>
        <w:fldChar w:fldCharType="separate"/>
      </w:r>
      <w:r w:rsidR="00B449D3">
        <w:rPr>
          <w:rFonts w:asciiTheme="minorHAnsi" w:hAnsiTheme="minorHAnsi" w:cstheme="minorBidi"/>
          <w:noProof/>
          <w:sz w:val="22"/>
          <w:szCs w:val="22"/>
        </w:rPr>
        <w:t>(97)</w:t>
      </w:r>
      <w:r w:rsidR="6EB43BDA" w:rsidRPr="2DAD1D96">
        <w:rPr>
          <w:rFonts w:asciiTheme="minorHAnsi" w:hAnsiTheme="minorHAnsi" w:cstheme="minorBidi"/>
          <w:noProof/>
          <w:sz w:val="22"/>
          <w:szCs w:val="22"/>
        </w:rPr>
        <w:fldChar w:fldCharType="end"/>
      </w:r>
      <w:r w:rsidRPr="2DAD1D96">
        <w:rPr>
          <w:rFonts w:asciiTheme="minorHAnsi" w:hAnsiTheme="minorHAnsi" w:cstheme="minorBidi"/>
          <w:noProof/>
          <w:sz w:val="22"/>
          <w:szCs w:val="22"/>
        </w:rPr>
        <w:t xml:space="preserve">. When individual survivors of susceptible species are observed in disease exposure trials </w:t>
      </w:r>
      <w:r w:rsidR="6EB43BDA" w:rsidRPr="2DAD1D96">
        <w:rPr>
          <w:rFonts w:asciiTheme="minorHAnsi" w:hAnsiTheme="minorHAnsi" w:cstheme="minorBidi"/>
          <w:noProof/>
          <w:sz w:val="22"/>
          <w:szCs w:val="22"/>
        </w:rPr>
        <w:fldChar w:fldCharType="begin"/>
      </w:r>
      <w:r w:rsidR="006159DD">
        <w:rPr>
          <w:rFonts w:asciiTheme="minorHAnsi" w:hAnsiTheme="minorHAnsi" w:cstheme="minorBidi"/>
          <w:noProof/>
          <w:sz w:val="22"/>
          <w:szCs w:val="22"/>
        </w:rPr>
        <w:instrText xml:space="preserve"> ADDIN ZOTERO_ITEM CSL_CITATION {"citationID":"i9ffTmCG","properties":{"formattedCitation":"(2,13,18,19)","plainCitation":"(2,13,18,19)","noteIndex":0},"citationItems":[{"id":4781,"uris":["http://zotero.org/users/8183159/items/8VG2BFV2"],"itemData":{"id":4781,"type":"article-journal","abstract":"The emergence of the disease chytridiomycosis caused by the chytrid fungus Batrachochytrium dendrobatidis (Bd) has been implicated in dramatic global amphibian declines. While many species have undergone catastrophic declines and/or extinctions, others appear to be unaffected or persist at reduced frequencies after Bd outbreaks. The reasons behind this variance in disease outcomes are poorly understood: differences in host immune responses have been proposed, yet previous studies suggest a lack of robust immune responses to Bd in susceptible species. Here, we sequenced transcriptomes from clutch-mates of a highly susceptible amphibian, Atelopus zeteki, with different infection histories. We found significant changes in expression of numerous genes involved in innate and inflammatory responses in infected frogs, despite high susceptibility to chytridiomycosis. We show evidence of acquired immune responses generated against Bd, including increased expression of immunoglobulins and MHC genes. In addition, fungal-killing genes had significantly higher expression in frogs previously exposed to Bd compared to Bd-naïve frogs, including chitinase and serine-type proteases. However, our results appear to confirm recent in vitro evidence of immune suppression by Bd, demonstrated by decreased expression of lymphocyte genes in the spleen of infected compared to control frogs. We propose susceptibility to chytridiomycosis is not due to lack of Bd-specific immune responses, but instead is caused by failure of those responses to be effective. Ineffective immune pathway activation and timing of antibody production are discussed as potential mechanisms. However, in light of our findings, suppression of key immune responses by Bd is likely an important factor in the lethality of this fungus.","citation-key":"Ellison2014","container-title":"G3: Genes Genomes Genetics","DOI":"10.1534/g3.114.010744","ISSN":"2160-1836","issue":"July","note":"ISBN: 2160-1836","page":"1275-1289","PMID":"24841130","title":"Fighting a losing battle: Vigorous immune response countered by pathogen suppression of host defenses in the chytridiomycosis-susceptible frog &lt;i&gt; Atelopus zeteki &lt;/i&gt;","volume":"4","author":[{"family":"Ellison","given":"Amy R"},{"family":"Savage","given":"Anna E"},{"family":"DiRenzo","given":"Grace V"},{"family":"Langhammer","given":"Penny"},{"family":"Lips","given":"Karen R"},{"family":"Zamudio","given":"Kelly R"}],"issued":{"date-parts":[["2014"]]}}},{"id":5273,"uris":["http://zotero.org/users/8183159/items/D3E94YNL"],"itemData":{"id":5273,"type":"article-journal","abstract":"Populations of native Panamanian golden frogs (Atelopus zeteki) have collapsed due to a recent chytridiomycosis epidemic. Reintroduction efforts from captive assurance colonies are unlikely to be successful without the development of methods to control chytridiomycosis in the wild. In an effort to develop a protective treatment regimen, we treated golden frogs with Janthinobacterium lividum, a skin bacterium that has been used to experimentally prevent chytridiomycosis in North American amphibians. Although J. lividum appeared to colonize A. zeteki skin temporarily, it did not prevent or delay mortality in A. zeteki exposed to Batrachochytrium dendrobatidis, the causative agent of chytridiomycosis. After introduction of J. lividum, average bacterial cell counts reached a peak of 1.7 × 10(6) cells per frog ~2 weeks after treatment but declined steadily after that. When J. lividum numbers declined to ~2.8 × 10(5) cells per frog, B. dendrobatidis infection intensity increased to greater than 13,000 zoospore equivalents per frog. At this point, frogs began to die of chytridiomycosis. Future research will concentrate on isolating and testing antifungal bacterial species from Panama that may be more compatible with Atelopus skin.","citation-key":"Becker2011","container-title":"EcoHealth","DOI":"10.1007/s10393-012-0743-0","ISSN":"16129210","issue":"4","note":"ISBN: 1039301207","page":"501-506","PMID":"22328095","title":"Towards a better understanding of the use of probiotics for preventing chytridiomycosis in Panamanian golden frogs.","volume":"8","author":[{"family":"Becker","given":"Matthew H."},{"family":"Harris","given":"Reid N."},{"family":"Minbiole","given":"Kevin P.C."},{"family":"Schwantes","given":"Christian R."},{"family":"Rollins-Smith","given":"Louise A."},{"family":"Reinert","given":"Laura K."},{"family":"Brucker","given":"Robert M."},{"family":"Domangue","given":"Rickie J."},{"family":"Gratwicke","given":"Brian"}],"issued":{"date-parts":[["2011",12]]}}},{"id":4654,"uris":["http://zotero.org/users/8183159/items/WEBQ8I94"],"itemData":{"id":4654,"type":"article-journal","citation-key":"McMahon2014","container-title":"Nature","DOI":"10.1038/nature13491","ISSN":"0028-0836","issue":"7508","page":"224-227","publisher":"Nature Publishing Group","title":"Amphibians acquire resistance to live and dead fungus overcoming fungal immunosuppression","volume":"511","author":[{"family":"McMahon","given":"Taegan A."},{"family":"Sears","given":"Brittany F."},{"family":"Venesky","given":"Matthew D."},{"family":"Bessler","given":"Scott M."},{"family":"Brown","given":"Jenise M."},{"family":"Deutsch","given":"Kaitlin"},{"family":"Halstead","given":"Neal T."},{"family":"Lentz","given":"Garrett"},{"family":"Tenouri","given":"Nadia"},{"family":"Young","given":"Suzanne"},{"family":"Civitello","given":"David J."},{"family":"Ortega","given":"Nicole"},{"family":"Fites","given":"J. Scott"},{"family":"Reinert","given":"Laura K."},{"family":"Rollins-Smith","given":"Louise A."},{"family":"Raffel","given":"Thomas R."},{"family":"Rohr","given":"Jason R."}],"issued":{"date-parts":[["2014"]]}}},{"id":5950,"uris":["http://zotero.org/users/8183159/items/C54JBMST","http://zotero.org/users/8183159/items/DXVSZQB3"],"itemData":{"id":5950,"type":"article-journal","abstract":"Amphibian biodiversity is experiencing ongoing declines due in part to the infectious disease, chytridiomycosis. Efforts to mitigate the effects of the causal agent of chytridiomycosis, Batrachochytrium dendrobatidis (Bd), in the wild have not been wholly effective. Translocations are an important management tool for amphibians, and immunizations represent a possible strategy for preparing amphibians for release across a landscape where Bd exists. We evaluated the utility of using an isolate of Bd that was shown to be hypovirulent to the relict leopard frog Rana onca as a transmissible inoculum for promoting chytridiomycosis resistance. We conducted a co-housing experiment to determine if the isolate we used could be passed between R. onca without increasing in virulence. We then followed with an experiment where frogs that were exposed to the hypovirulent isolate were then challenged with a virulent Bd isolate. In other experiments, we evaluated whether Bd infections followed by clearance with itraconazole (an antifungal) could increase resistance to chytridiomycosis in R. onca and Rana pipiens (northern leopard frog). We found that our hypovirulent Bd inoculation was transmissible between hosts, did not cause chytridiomycosis and was effective at imparting long-term chytridiomycosis resistance. Rana onca inoculated with the hypovirulent Bd isolate had lower pathogen burdens and were 55 times more likely to survive infections by a virulent Bd isolate than non-inoculated frogs. For both species, prior exposure to Bd followed by infection clearance with itraconazole resulted in significantly increased survivorship and lower pathogen burdens as compared to controls that had no prior Bd exposure. Rana onca that were previously exposed to Bd were more than 15 times more likely to survive infections. Previously exposed R. pipiens survived in higher proportions than controls, but with weaker statistical support. Synthesis and Applications. Translocations are an important management tool for many amphibian conservation programs. For amphibian species that have experienced declines due to the disease chytridiomycosis [caused by the pathogen Batrachochytrium dendrobatidis (Bd)], the success of translocations may be limited due to the persistent threat of the disease in the wild. We completed a series of experiments aimed at increasing amphibian resistance to chytridiomycosis using low-virulence, transmissible Bd inoculations and Bd infection followed by clearance with an antifungal (itraconazole). Our low-virulence Bd inoculations were transmissible, did not cause disease and provided long-term resistance against chytridiomycosis. Similarly, infection with Bd and clearance with itraconazole led to increased resistance to chytridiomycosis in subsequent exposures. The use of a low-virulence Bd inoculation could be further developed into a transmissible vaccine, propagating the protective benefits beyond individuals that can be directly inoculated. At this stage, we advise that using the alternative approach of infecting frogs with Bd from translocation sites followed by clearance of infections with itraconazole may be sensible for increasing host resistance to chytridiomycosis.","container-title":"Journal of Applied Ecology","DOI":"10.1111/1365-2664.13974","ISSN":"13652664","issue":"10","page":"2053-2064","title":"Amphibian resistance to chytridiomycosis increases following low-virulence chytrid fungal infection or drug-mediated clearance","volume":"58","author":[{"family":"Waddle","given":"Anthony W."},{"family":"Rivera","given":"Rebeca"},{"family":"Rice","given":"Hannah"},{"family":"Keenan","given":"Emma C."},{"family":"Rezaei","given":"Ghazal"},{"family":"Levy","given":"Joshua E."},{"family":"Vasquez","given":"Yesenia S."},{"family":"Sai","given":"Marlai"},{"family":"Hill","given":"Jessica"},{"family":"Zmuda","given":"Alexandra"},{"family":"Lambreghts","given":"Yorick"},{"family":"Jaeger","given":"Jef R."}],"issued":{"date-parts":[["2021"]]}}}],"schema":"https://github.com/citation-style-language/schema/raw/master/csl-citation.json"} </w:instrText>
      </w:r>
      <w:r w:rsidR="6EB43BDA" w:rsidRPr="2DAD1D96">
        <w:rPr>
          <w:rFonts w:asciiTheme="minorHAnsi" w:hAnsiTheme="minorHAnsi" w:cstheme="minorBidi"/>
          <w:noProof/>
          <w:sz w:val="22"/>
          <w:szCs w:val="22"/>
        </w:rPr>
        <w:fldChar w:fldCharType="separate"/>
      </w:r>
      <w:r w:rsidR="00C91241">
        <w:rPr>
          <w:rFonts w:asciiTheme="minorHAnsi" w:hAnsiTheme="minorHAnsi" w:cstheme="minorBidi"/>
          <w:noProof/>
          <w:sz w:val="22"/>
          <w:szCs w:val="22"/>
        </w:rPr>
        <w:t>(2,13,18,19)</w:t>
      </w:r>
      <w:r w:rsidR="6EB43BDA" w:rsidRPr="2DAD1D96">
        <w:rPr>
          <w:rFonts w:asciiTheme="minorHAnsi" w:hAnsiTheme="minorHAnsi" w:cstheme="minorBidi"/>
          <w:noProof/>
          <w:sz w:val="22"/>
          <w:szCs w:val="22"/>
        </w:rPr>
        <w:fldChar w:fldCharType="end"/>
      </w:r>
      <w:r w:rsidRPr="2DAD1D96">
        <w:rPr>
          <w:rFonts w:asciiTheme="minorHAnsi" w:hAnsiTheme="minorHAnsi" w:cstheme="minorBidi"/>
          <w:noProof/>
          <w:sz w:val="22"/>
          <w:szCs w:val="22"/>
        </w:rPr>
        <w:t xml:space="preserve">, or in wild situations </w:t>
      </w:r>
      <w:r w:rsidR="6EB43BDA" w:rsidRPr="2DAD1D96">
        <w:rPr>
          <w:rFonts w:asciiTheme="minorHAnsi" w:hAnsiTheme="minorHAnsi" w:cstheme="minorBidi"/>
          <w:noProof/>
          <w:sz w:val="22"/>
          <w:szCs w:val="22"/>
        </w:rPr>
        <w:fldChar w:fldCharType="begin"/>
      </w:r>
      <w:r w:rsidR="00B449D3">
        <w:rPr>
          <w:rFonts w:asciiTheme="minorHAnsi" w:hAnsiTheme="minorHAnsi" w:cstheme="minorBidi"/>
          <w:noProof/>
          <w:sz w:val="22"/>
          <w:szCs w:val="22"/>
        </w:rPr>
        <w:instrText xml:space="preserve"> ADDIN ZOTERO_ITEM CSL_CITATION {"citationID":"o2Tt8FFz","properties":{"formattedCitation":"(98)","plainCitation":"(98)","noteIndex":0},"citationItems":[{"id":5313,"uris":["http://zotero.org/users/8183159/items/Y5EPFYCW"],"itemData":{"id":5313,"type":"article-journal","abstract":"Infectious diseases rarely end in extinction. Yet the mechanisms that explain how epidemics subside are difficult to pinpoint. We investigated host-pathogen interactions after the emergence of a lethal fungal pathogen in a tropical amphibian assemblage. Some amphibian host species are recovering, but the pathogen is still present and is as pathogenic today as it was almost a decade ago. In addition, some species have defenses that are more effective now than they were before the epidemic. These results suggest that host recoveries are not caused by pathogen attenuation and may be due to shifts in host responses. Our findings provide insights into the mechanisms underlying disease transitions, which are increasingly important to understand in an era of emerging infectious diseases and unprecedented global pandemics.","citation-key":"Voyles2018","container-title":"Science","DOI":"10.1126/science.aao4806","issue":"6383","page":"1517-1519","PMID":"29599242","publisher":"American Association for the Advancement of Science","title":"Shifts in disease dynamics in a tropical amphibian assemblage are not due to pathogen attenuation.","volume":"359","author":[{"family":"Voyles","given":"Jamie"},{"family":"Woodhams","given":"Douglas C"},{"family":"Saenz","given":"Veronica"},{"family":"Byrne","given":"Allison Q"},{"family":"Perez","given":"Rachel"},{"family":"Rios-Sotelo","given":"Gabriela"},{"family":"Ryan","given":"Mason J"},{"family":"Bletz","given":"Molly C"},{"family":"Sobell","given":"Florence Ann"},{"family":"McLetchie","given":"Shawna"},{"family":"Reinert","given":"Laura"},{"family":"Rosenblum","given":"Erica Bree"},{"family":"Rollins-Smith","given":"Louise A"},{"family":"Ibáñez","given":"Roberto"},{"family":"Ray","given":"Julie M"},{"family":"Griffith","given":"Edgardo J"},{"family":"Ross","given":"Heidi"},{"family":"Richards-Zawacki","given":"Corinne L"}],"issued":{"date-parts":[["2018",3,30]]}}}],"schema":"https://github.com/citation-style-language/schema/raw/master/csl-citation.json"} </w:instrText>
      </w:r>
      <w:r w:rsidR="6EB43BDA" w:rsidRPr="2DAD1D96">
        <w:rPr>
          <w:rFonts w:asciiTheme="minorHAnsi" w:hAnsiTheme="minorHAnsi" w:cstheme="minorBidi"/>
          <w:noProof/>
          <w:sz w:val="22"/>
          <w:szCs w:val="22"/>
        </w:rPr>
        <w:fldChar w:fldCharType="separate"/>
      </w:r>
      <w:r w:rsidR="00B449D3">
        <w:rPr>
          <w:rFonts w:asciiTheme="minorHAnsi" w:hAnsiTheme="minorHAnsi" w:cstheme="minorBidi"/>
          <w:noProof/>
          <w:sz w:val="22"/>
          <w:szCs w:val="22"/>
        </w:rPr>
        <w:t>(98)</w:t>
      </w:r>
      <w:r w:rsidR="6EB43BDA" w:rsidRPr="2DAD1D96">
        <w:rPr>
          <w:rFonts w:asciiTheme="minorHAnsi" w:hAnsiTheme="minorHAnsi" w:cstheme="minorBidi"/>
          <w:noProof/>
          <w:sz w:val="22"/>
          <w:szCs w:val="22"/>
        </w:rPr>
        <w:fldChar w:fldCharType="end"/>
      </w:r>
      <w:r w:rsidRPr="2DAD1D96">
        <w:rPr>
          <w:rFonts w:asciiTheme="minorHAnsi" w:hAnsiTheme="minorHAnsi" w:cstheme="minorBidi"/>
          <w:noProof/>
          <w:sz w:val="22"/>
          <w:szCs w:val="22"/>
        </w:rPr>
        <w:t xml:space="preserve"> comparative host gene expression data would be invaluable to determine the mechanism using toe-clips </w:t>
      </w:r>
      <w:r w:rsidR="6EB43BDA" w:rsidRPr="2DAD1D96">
        <w:rPr>
          <w:rFonts w:asciiTheme="minorHAnsi" w:hAnsiTheme="minorHAnsi" w:cstheme="minorBidi"/>
          <w:noProof/>
          <w:sz w:val="22"/>
          <w:szCs w:val="22"/>
        </w:rPr>
        <w:fldChar w:fldCharType="begin"/>
      </w:r>
      <w:r w:rsidR="006159DD">
        <w:rPr>
          <w:rFonts w:asciiTheme="minorHAnsi" w:hAnsiTheme="minorHAnsi" w:cstheme="minorBidi"/>
          <w:noProof/>
          <w:sz w:val="22"/>
          <w:szCs w:val="22"/>
        </w:rPr>
        <w:instrText xml:space="preserve"> ADDIN ZOTERO_ITEM CSL_CITATION {"citationID":"abBsWEha","properties":{"formattedCitation":"(12)","plainCitation":"(12)","noteIndex":0},"citationItems":[{"id":5770,"uris":["http://zotero.org/users/8183159/items/8HE2SDKQ"],"itemData":{"id":5770,"type":"article-journal","abstract":"Symbiotic microbes can dramatically impact host health and fitness, and recent research in a diversity of systems suggests that different symbiont community structures may result in distinct outcomes for the host. In amphibians, some symbiotic skin bacteria produce metabolites that inhibit the growth of Batrachochytrium dendrobatidis (Bd), a cutaneous fungal pathogen that has caused many amphibian population declines and extinctions. Treatment with beneficial bacteria (probiotics) prevents Bd infection in some amphibian species and creates optimism for conservation of species that are highly susceptible to chytridiomycosis, the disease caused by Bd. In a laboratory experiment, we used Bd-inhibitory bacteria from Bd-tolerant Panamanian amphibians in a probiotic development trial with Panamanian golden frogs, Atelopus zeteki, a species currently surviving only in captive assurance colonies. Approximately 30% of infected golden frogs survived Bd exposure by either clearing infection or maintaining low Bd loads, but this was not associated with probiotic treatment. Survival was instead related to initial composition of the skin bacterial community and metabolites present on the skin. These results suggest a strong link between the structure of these symbiotic microbial communities and amphibian host health in the face of Bd exposure and also suggest a new approach for developing amphibian probiotics. © 2015 The Author(s) Published by the Royal Society. All rights reserved.","citation-key":"Becker2015","container-title":"Proceedings of the Royal Society B","DOI":"10.1098/rspb.2014.2881","ISSN":"09628452 (ISSN)","issue":"1805","note":"ISBN: 0962-8452","page":"20142881","PMID":"25788591","title":"Composition of symbiotic bacteria predicts survival in Panamanian golden frogs infected with a lethal fungus","volume":"282","author":[{"family":"Becker","given":"Matthew H."},{"family":"Walke","given":"Jenifer B."},{"family":"Cikanek","given":"Shawna"},{"family":"Savage","given":"Anna E."},{"family":"Mattheus","given":"Nichole"},{"family":"Santiago","given":"Celina N."},{"family":"Minbiole","given":"Kevin P. C."},{"family":"Harris","given":"Reid N."},{"family":"Belden","given":"Lisa K."},{"family":"Gratwicke","given":"Brian"}],"issued":{"date-parts":[["2015"]]}}}],"schema":"https://github.com/citation-style-language/schema/raw/master/csl-citation.json"} </w:instrText>
      </w:r>
      <w:r w:rsidR="6EB43BDA" w:rsidRPr="2DAD1D96">
        <w:rPr>
          <w:rFonts w:asciiTheme="minorHAnsi" w:hAnsiTheme="minorHAnsi" w:cstheme="minorBidi"/>
          <w:noProof/>
          <w:sz w:val="22"/>
          <w:szCs w:val="22"/>
        </w:rPr>
        <w:fldChar w:fldCharType="separate"/>
      </w:r>
      <w:r w:rsidR="00C91241">
        <w:rPr>
          <w:rFonts w:asciiTheme="minorHAnsi" w:hAnsiTheme="minorHAnsi" w:cstheme="minorBidi"/>
          <w:noProof/>
          <w:sz w:val="22"/>
          <w:szCs w:val="22"/>
        </w:rPr>
        <w:t>(12)</w:t>
      </w:r>
      <w:r w:rsidR="6EB43BDA" w:rsidRPr="2DAD1D96">
        <w:rPr>
          <w:rFonts w:asciiTheme="minorHAnsi" w:hAnsiTheme="minorHAnsi" w:cstheme="minorBidi"/>
          <w:noProof/>
          <w:sz w:val="22"/>
          <w:szCs w:val="22"/>
        </w:rPr>
        <w:fldChar w:fldCharType="end"/>
      </w:r>
      <w:r w:rsidRPr="2DAD1D96">
        <w:rPr>
          <w:rFonts w:asciiTheme="minorHAnsi" w:hAnsiTheme="minorHAnsi" w:cstheme="minorBidi"/>
          <w:noProof/>
          <w:sz w:val="22"/>
          <w:szCs w:val="22"/>
        </w:rPr>
        <w:t xml:space="preserve">. This method may be useful to identify candidate resistance genes for targeted genetic interventions that increase disease fitness traits for conservation purposes </w:t>
      </w:r>
      <w:r w:rsidR="6EB43BDA" w:rsidRPr="2DAD1D96">
        <w:rPr>
          <w:rFonts w:asciiTheme="minorHAnsi" w:hAnsiTheme="minorHAnsi" w:cstheme="minorBidi"/>
          <w:noProof/>
          <w:sz w:val="22"/>
          <w:szCs w:val="22"/>
        </w:rPr>
        <w:fldChar w:fldCharType="begin"/>
      </w:r>
      <w:r w:rsidR="00B449D3">
        <w:rPr>
          <w:rFonts w:asciiTheme="minorHAnsi" w:hAnsiTheme="minorHAnsi" w:cstheme="minorBidi"/>
          <w:noProof/>
          <w:sz w:val="22"/>
          <w:szCs w:val="22"/>
        </w:rPr>
        <w:instrText xml:space="preserve"> ADDIN ZOTERO_ITEM CSL_CITATION {"citationID":"eBGO4ZQP","properties":{"formattedCitation":"(97)","plainCitation":"(97)","noteIndex":0},"citationItems":[{"id":2569,"uris":["http://zotero.org/users/8183159/items/RRIABKVS"],"itemData":{"id":2569,"type":"article-journal","abstract":"The global rate of wildlife extinctions is accelerating, and the persistence of many species requires conservation breeding programs. A central paradigm of these programs is to preserve the genetic diversity of the founder populations. However, this may preserve original characteristics that make them vulnerable to extinction. We introduce targeted genetic intervention (TGI) as an alternative approach that promotes traits that enable species to persist in the face of threats by changing the incidence of alleles that impact on fitness. The TGI toolkit includes methods with established efficacy in model organisms and agriculture but are largely untried for conservation, such as synthetic biology and artificial selection. We explore TGI approaches as a species-restoration tool for intractable threats including infectious disease and climate change.","container-title":"Trends in ecology &amp; evolution","DOI":"10.1016/j.tree.2021.12.003","ISSN":"0169-5347","issue":"4","language":"English","note":"PubAg AGID: 7595972","page":"332-345","source":"PubAg","title":"Genetic approaches for increasing fitness in endangered species","volume":"37","author":[{"family":"Kosch","given":"Tiffany A"},{"family":"Waddle","given":"Anthony W."},{"family":"Cooper","given":"C"},{"family":"Zenger","given":"K R"},{"family":"Garrick","given":"Dorian J."},{"family":"Berger","given":"Lee"},{"family":"Skerratt","given":"Lee F."}],"issued":{"date-parts":[["2022"]]}}}],"schema":"https://github.com/citation-style-language/schema/raw/master/csl-citation.json"} </w:instrText>
      </w:r>
      <w:r w:rsidR="6EB43BDA" w:rsidRPr="2DAD1D96">
        <w:rPr>
          <w:rFonts w:asciiTheme="minorHAnsi" w:hAnsiTheme="minorHAnsi" w:cstheme="minorBidi"/>
          <w:noProof/>
          <w:sz w:val="22"/>
          <w:szCs w:val="22"/>
        </w:rPr>
        <w:fldChar w:fldCharType="separate"/>
      </w:r>
      <w:r w:rsidR="00B449D3">
        <w:rPr>
          <w:rFonts w:asciiTheme="minorHAnsi" w:hAnsiTheme="minorHAnsi" w:cstheme="minorBidi"/>
          <w:noProof/>
          <w:sz w:val="22"/>
          <w:szCs w:val="22"/>
        </w:rPr>
        <w:t>(97)</w:t>
      </w:r>
      <w:r w:rsidR="6EB43BDA" w:rsidRPr="2DAD1D96">
        <w:rPr>
          <w:rFonts w:asciiTheme="minorHAnsi" w:hAnsiTheme="minorHAnsi" w:cstheme="minorBidi"/>
          <w:noProof/>
          <w:sz w:val="22"/>
          <w:szCs w:val="22"/>
        </w:rPr>
        <w:fldChar w:fldCharType="end"/>
      </w:r>
      <w:r w:rsidRPr="2DAD1D96">
        <w:rPr>
          <w:rFonts w:asciiTheme="minorHAnsi" w:hAnsiTheme="minorHAnsi" w:cstheme="minorBidi"/>
          <w:noProof/>
          <w:sz w:val="22"/>
          <w:szCs w:val="22"/>
        </w:rPr>
        <w:t xml:space="preserve">. </w:t>
      </w:r>
    </w:p>
    <w:p w14:paraId="1C95E7AD" w14:textId="77777777" w:rsidR="00922A23" w:rsidRPr="009862C5" w:rsidRDefault="00922A23" w:rsidP="00547AFA">
      <w:pPr>
        <w:spacing w:line="480" w:lineRule="auto"/>
        <w:rPr>
          <w:rFonts w:asciiTheme="minorHAnsi" w:hAnsiTheme="minorHAnsi" w:cstheme="minorHAnsi"/>
          <w:b/>
          <w:bCs/>
          <w:noProof/>
          <w:sz w:val="22"/>
          <w:szCs w:val="22"/>
        </w:rPr>
      </w:pPr>
    </w:p>
    <w:p w14:paraId="401D5271" w14:textId="74DE875A" w:rsidR="00E77D66" w:rsidRPr="009862C5" w:rsidRDefault="00922A23" w:rsidP="00547AFA">
      <w:pPr>
        <w:spacing w:line="480" w:lineRule="auto"/>
        <w:rPr>
          <w:rFonts w:asciiTheme="minorHAnsi" w:hAnsiTheme="minorHAnsi" w:cstheme="minorHAnsi"/>
          <w:b/>
          <w:bCs/>
          <w:noProof/>
          <w:sz w:val="22"/>
          <w:szCs w:val="22"/>
        </w:rPr>
      </w:pPr>
      <w:r w:rsidRPr="009862C5">
        <w:rPr>
          <w:rFonts w:asciiTheme="minorHAnsi" w:hAnsiTheme="minorHAnsi" w:cstheme="minorHAnsi"/>
          <w:b/>
          <w:bCs/>
          <w:noProof/>
          <w:sz w:val="22"/>
          <w:szCs w:val="22"/>
        </w:rPr>
        <w:t>Acknowledgements</w:t>
      </w:r>
    </w:p>
    <w:p w14:paraId="0CFB5EE2" w14:textId="2D417F86" w:rsidR="002750B0" w:rsidRPr="00E87ABB" w:rsidRDefault="00934A2F" w:rsidP="00547AFA">
      <w:pPr>
        <w:spacing w:line="480" w:lineRule="auto"/>
        <w:rPr>
          <w:rFonts w:asciiTheme="minorHAnsi" w:hAnsiTheme="minorHAnsi" w:cstheme="minorHAnsi"/>
          <w:sz w:val="22"/>
          <w:szCs w:val="22"/>
        </w:rPr>
      </w:pPr>
      <w:r w:rsidRPr="00E87ABB">
        <w:rPr>
          <w:rFonts w:asciiTheme="minorHAnsi" w:hAnsiTheme="minorHAnsi" w:cstheme="minorHAnsi"/>
          <w:sz w:val="22"/>
          <w:szCs w:val="22"/>
        </w:rPr>
        <w:t>We than</w:t>
      </w:r>
      <w:r w:rsidR="00E87ABB" w:rsidRPr="00E87ABB">
        <w:rPr>
          <w:rFonts w:asciiTheme="minorHAnsi" w:hAnsiTheme="minorHAnsi" w:cstheme="minorHAnsi"/>
          <w:sz w:val="22"/>
          <w:szCs w:val="22"/>
        </w:rPr>
        <w:t>k</w:t>
      </w:r>
      <w:r w:rsidRPr="00E87ABB">
        <w:rPr>
          <w:rFonts w:asciiTheme="minorHAnsi" w:hAnsiTheme="minorHAnsi" w:cstheme="minorHAnsi"/>
          <w:sz w:val="22"/>
          <w:szCs w:val="22"/>
        </w:rPr>
        <w:t xml:space="preserve"> Marta Vargas at the Naos Molecular Laboratory at the Smithsonian Tropical Research Institute in Panama for assistance with sample preparation and extraction.</w:t>
      </w:r>
    </w:p>
    <w:p w14:paraId="3E7A366C" w14:textId="77777777" w:rsidR="00934A2F" w:rsidRPr="009862C5" w:rsidRDefault="00934A2F" w:rsidP="00547AFA">
      <w:pPr>
        <w:spacing w:line="480" w:lineRule="auto"/>
        <w:rPr>
          <w:rFonts w:asciiTheme="minorHAnsi" w:hAnsiTheme="minorHAnsi" w:cstheme="minorHAnsi"/>
          <w:b/>
          <w:bCs/>
          <w:noProof/>
          <w:sz w:val="22"/>
          <w:szCs w:val="22"/>
        </w:rPr>
      </w:pPr>
    </w:p>
    <w:p w14:paraId="14DFCA8C" w14:textId="59D52FE3" w:rsidR="004A2595" w:rsidRPr="009862C5" w:rsidRDefault="00900D9D" w:rsidP="00547AFA">
      <w:pPr>
        <w:spacing w:line="480" w:lineRule="auto"/>
        <w:rPr>
          <w:rFonts w:asciiTheme="minorHAnsi" w:hAnsiTheme="minorHAnsi" w:cstheme="minorHAnsi"/>
          <w:b/>
          <w:bCs/>
          <w:sz w:val="22"/>
          <w:szCs w:val="22"/>
        </w:rPr>
      </w:pPr>
      <w:r w:rsidRPr="009862C5">
        <w:rPr>
          <w:rFonts w:asciiTheme="minorHAnsi" w:hAnsiTheme="minorHAnsi" w:cstheme="minorHAnsi"/>
          <w:b/>
          <w:bCs/>
          <w:sz w:val="22"/>
          <w:szCs w:val="22"/>
        </w:rPr>
        <w:t>Author contribution</w:t>
      </w:r>
      <w:r w:rsidR="00922A23" w:rsidRPr="009862C5">
        <w:rPr>
          <w:rFonts w:asciiTheme="minorHAnsi" w:hAnsiTheme="minorHAnsi" w:cstheme="minorHAnsi"/>
          <w:b/>
          <w:bCs/>
          <w:sz w:val="22"/>
          <w:szCs w:val="22"/>
        </w:rPr>
        <w:t>s</w:t>
      </w:r>
    </w:p>
    <w:p w14:paraId="473DA491" w14:textId="09A1CC28" w:rsidR="004763DE" w:rsidRPr="009862C5" w:rsidRDefault="170F1CD4" w:rsidP="170F1CD4">
      <w:pPr>
        <w:spacing w:line="480" w:lineRule="auto"/>
        <w:rPr>
          <w:rFonts w:asciiTheme="minorHAnsi" w:hAnsiTheme="minorHAnsi" w:cstheme="minorBidi"/>
          <w:sz w:val="22"/>
          <w:szCs w:val="22"/>
        </w:rPr>
      </w:pPr>
      <w:r w:rsidRPr="170F1CD4">
        <w:rPr>
          <w:rFonts w:asciiTheme="minorHAnsi" w:hAnsiTheme="minorHAnsi" w:cstheme="minorBidi"/>
          <w:sz w:val="22"/>
          <w:szCs w:val="22"/>
        </w:rPr>
        <w:t xml:space="preserve">The authors confirm contribution to the paper as follows: Study conception and design: B.G., E.B., L.L., C. M-W., A.E., G.D.; Grant application and program management: C.M-W., B.G., R.I., L.G., A.E; data collection: Y.F., E.I., J.G., L.L., N.A., O.O., </w:t>
      </w:r>
      <w:r w:rsidR="00CF15CB">
        <w:rPr>
          <w:rFonts w:asciiTheme="minorHAnsi" w:hAnsiTheme="minorHAnsi" w:cstheme="minorBidi"/>
          <w:sz w:val="22"/>
          <w:szCs w:val="22"/>
        </w:rPr>
        <w:t xml:space="preserve">R.I., </w:t>
      </w:r>
      <w:r w:rsidRPr="170F1CD4">
        <w:rPr>
          <w:rFonts w:asciiTheme="minorHAnsi" w:hAnsiTheme="minorHAnsi" w:cstheme="minorBidi"/>
          <w:sz w:val="22"/>
          <w:szCs w:val="22"/>
        </w:rPr>
        <w:t xml:space="preserve">C.M-W., J.M.; analysis and interpretation of results: O.O., </w:t>
      </w:r>
      <w:r w:rsidRPr="170F1CD4">
        <w:rPr>
          <w:rFonts w:asciiTheme="minorHAnsi" w:hAnsiTheme="minorHAnsi" w:cstheme="minorBidi"/>
          <w:sz w:val="22"/>
          <w:szCs w:val="22"/>
        </w:rPr>
        <w:lastRenderedPageBreak/>
        <w:t xml:space="preserve">A.H., B.G., N.A., C.M-W., A.E., J.M., L.G.; draft manuscript preparation: C.M-W., B.G., A.E., O.O., L.G., A.H. All authors reviewed the results and approved the final version of the manuscript.  </w:t>
      </w:r>
    </w:p>
    <w:p w14:paraId="4AA22349" w14:textId="77777777" w:rsidR="004763DE" w:rsidRPr="009862C5" w:rsidRDefault="004763DE" w:rsidP="00547AFA">
      <w:pPr>
        <w:spacing w:line="480" w:lineRule="auto"/>
        <w:rPr>
          <w:rFonts w:asciiTheme="minorHAnsi" w:hAnsiTheme="minorHAnsi" w:cstheme="minorHAnsi"/>
          <w:sz w:val="22"/>
          <w:szCs w:val="22"/>
        </w:rPr>
      </w:pPr>
    </w:p>
    <w:p w14:paraId="4C804D03" w14:textId="77777777" w:rsidR="00922A23" w:rsidRPr="009862C5" w:rsidRDefault="00922A23" w:rsidP="00547AFA">
      <w:pPr>
        <w:spacing w:line="480" w:lineRule="auto"/>
        <w:rPr>
          <w:rFonts w:asciiTheme="minorHAnsi" w:hAnsiTheme="minorHAnsi" w:cstheme="minorHAnsi"/>
          <w:b/>
          <w:bCs/>
          <w:noProof/>
          <w:sz w:val="22"/>
          <w:szCs w:val="22"/>
        </w:rPr>
      </w:pPr>
      <w:r w:rsidRPr="009862C5">
        <w:rPr>
          <w:rFonts w:asciiTheme="minorHAnsi" w:hAnsiTheme="minorHAnsi" w:cstheme="minorHAnsi"/>
          <w:b/>
          <w:bCs/>
          <w:noProof/>
          <w:sz w:val="22"/>
          <w:szCs w:val="22"/>
        </w:rPr>
        <w:t>Funding</w:t>
      </w:r>
    </w:p>
    <w:p w14:paraId="71175729" w14:textId="4FDF9702" w:rsidR="00922A23" w:rsidRPr="009862C5" w:rsidRDefault="08969196" w:rsidP="0B713666">
      <w:pPr>
        <w:spacing w:line="480" w:lineRule="auto"/>
        <w:rPr>
          <w:rFonts w:asciiTheme="minorHAnsi" w:hAnsiTheme="minorHAnsi" w:cstheme="minorBidi"/>
          <w:sz w:val="22"/>
          <w:szCs w:val="22"/>
        </w:rPr>
      </w:pPr>
      <w:r w:rsidRPr="08969196">
        <w:rPr>
          <w:rFonts w:asciiTheme="minorHAnsi" w:hAnsiTheme="minorHAnsi" w:cstheme="minorBidi"/>
          <w:sz w:val="22"/>
          <w:szCs w:val="22"/>
        </w:rPr>
        <w:t xml:space="preserve">This experimental work was supported financially by a Revive and Restore grant awarded to C.M-W., B.G. and R.I., a joint US National Science </w:t>
      </w:r>
      <w:proofErr w:type="gramStart"/>
      <w:r w:rsidRPr="08969196">
        <w:rPr>
          <w:rFonts w:asciiTheme="minorHAnsi" w:hAnsiTheme="minorHAnsi" w:cstheme="minorBidi"/>
          <w:sz w:val="22"/>
          <w:szCs w:val="22"/>
        </w:rPr>
        <w:t>Foundation(</w:t>
      </w:r>
      <w:proofErr w:type="gramEnd"/>
      <w:r w:rsidRPr="08969196">
        <w:rPr>
          <w:rFonts w:asciiTheme="minorHAnsi" w:hAnsiTheme="minorHAnsi" w:cstheme="minorBidi"/>
          <w:sz w:val="22"/>
          <w:szCs w:val="22"/>
        </w:rPr>
        <w:t>NSF) and UK Biotechnology and Biological Sciences Research Council</w:t>
      </w:r>
      <w:r w:rsidR="001E2BE0">
        <w:rPr>
          <w:rFonts w:asciiTheme="minorHAnsi" w:hAnsiTheme="minorHAnsi" w:cstheme="minorBidi"/>
          <w:sz w:val="22"/>
          <w:szCs w:val="22"/>
        </w:rPr>
        <w:t xml:space="preserve"> </w:t>
      </w:r>
      <w:r w:rsidRPr="08969196">
        <w:rPr>
          <w:rFonts w:asciiTheme="minorHAnsi" w:hAnsiTheme="minorHAnsi" w:cstheme="minorBidi"/>
          <w:sz w:val="22"/>
          <w:szCs w:val="22"/>
        </w:rPr>
        <w:t xml:space="preserve">(BBSRC) grant awarded to C.M-W., A.E., L.G. and </w:t>
      </w:r>
      <w:proofErr w:type="gramStart"/>
      <w:r w:rsidRPr="08969196">
        <w:rPr>
          <w:rFonts w:asciiTheme="minorHAnsi" w:hAnsiTheme="minorHAnsi" w:cstheme="minorBidi"/>
          <w:sz w:val="22"/>
          <w:szCs w:val="22"/>
        </w:rPr>
        <w:t>B.G.(</w:t>
      </w:r>
      <w:proofErr w:type="gramEnd"/>
      <w:r w:rsidRPr="08969196">
        <w:rPr>
          <w:rFonts w:asciiTheme="minorHAnsi" w:hAnsiTheme="minorHAnsi" w:cstheme="minorBidi"/>
          <w:sz w:val="22"/>
          <w:szCs w:val="22"/>
        </w:rPr>
        <w:t xml:space="preserve">NSF IOS-2131060 and BBSRC BB/W013517/1) and </w:t>
      </w:r>
      <w:proofErr w:type="gramStart"/>
      <w:r w:rsidRPr="08969196">
        <w:rPr>
          <w:rFonts w:asciiTheme="minorHAnsi" w:hAnsiTheme="minorHAnsi" w:cstheme="minorBidi"/>
          <w:sz w:val="22"/>
          <w:szCs w:val="22"/>
        </w:rPr>
        <w:t>a</w:t>
      </w:r>
      <w:proofErr w:type="gramEnd"/>
      <w:r w:rsidRPr="08969196">
        <w:rPr>
          <w:rFonts w:asciiTheme="minorHAnsi" w:hAnsiTheme="minorHAnsi" w:cstheme="minorBidi"/>
          <w:sz w:val="22"/>
          <w:szCs w:val="22"/>
        </w:rPr>
        <w:t xml:space="preserve"> NSF award </w:t>
      </w:r>
      <w:r w:rsidR="00FA5838">
        <w:rPr>
          <w:rFonts w:asciiTheme="minorHAnsi" w:hAnsiTheme="minorHAnsi" w:cstheme="minorBidi"/>
          <w:sz w:val="22"/>
          <w:szCs w:val="22"/>
        </w:rPr>
        <w:t>IOS-</w:t>
      </w:r>
      <w:r w:rsidRPr="08969196">
        <w:rPr>
          <w:rFonts w:asciiTheme="minorHAnsi" w:hAnsiTheme="minorHAnsi" w:cstheme="minorBidi"/>
          <w:sz w:val="22"/>
          <w:szCs w:val="22"/>
        </w:rPr>
        <w:t xml:space="preserve">2147466 to L.G. The Panama Amphibian Rescue and Conservation Project is a joint project of the Smithsonian Tropical Research Institute, the Smithsonian National Zoo and Conservation Biology Institute, the Cheyenne Mountain Zoo and Zoo New England and we gratefully acknowledge financial support from the Shared Earth Foundation, the Anele Kolohe Foundation, Susan and Frank Mars, an anonymous foundation and the Bezos Earth Fund supporting the participation of B.G., R.I., J.G., Y.F., L.L. &amp; N.A. </w:t>
      </w:r>
    </w:p>
    <w:p w14:paraId="0C204193" w14:textId="77777777" w:rsidR="00922A23" w:rsidRPr="009862C5" w:rsidRDefault="00922A23" w:rsidP="00547AFA">
      <w:pPr>
        <w:spacing w:line="480" w:lineRule="auto"/>
        <w:rPr>
          <w:rFonts w:asciiTheme="minorHAnsi" w:hAnsiTheme="minorHAnsi" w:cstheme="minorHAnsi"/>
          <w:sz w:val="22"/>
          <w:szCs w:val="22"/>
        </w:rPr>
      </w:pPr>
    </w:p>
    <w:p w14:paraId="35904D98" w14:textId="4EF41DFF" w:rsidR="00922A23" w:rsidRPr="009862C5" w:rsidRDefault="00922A23" w:rsidP="00547AFA">
      <w:pPr>
        <w:spacing w:line="480" w:lineRule="auto"/>
        <w:rPr>
          <w:rFonts w:asciiTheme="minorHAnsi" w:hAnsiTheme="minorHAnsi" w:cstheme="minorHAnsi"/>
          <w:b/>
          <w:bCs/>
          <w:sz w:val="22"/>
          <w:szCs w:val="22"/>
        </w:rPr>
      </w:pPr>
      <w:r w:rsidRPr="009862C5">
        <w:rPr>
          <w:rFonts w:asciiTheme="minorHAnsi" w:hAnsiTheme="minorHAnsi" w:cstheme="minorHAnsi"/>
          <w:b/>
          <w:bCs/>
          <w:sz w:val="22"/>
          <w:szCs w:val="22"/>
        </w:rPr>
        <w:t>Data availability</w:t>
      </w:r>
    </w:p>
    <w:p w14:paraId="1F2963B0" w14:textId="05F4FFE1" w:rsidR="00547AFA" w:rsidRPr="009862C5" w:rsidRDefault="482BA739" w:rsidP="75C4E89E">
      <w:pPr>
        <w:spacing w:line="480" w:lineRule="auto"/>
        <w:rPr>
          <w:rFonts w:asciiTheme="minorHAnsi" w:hAnsiTheme="minorHAnsi" w:cstheme="minorBidi"/>
          <w:sz w:val="22"/>
          <w:szCs w:val="22"/>
        </w:rPr>
      </w:pPr>
      <w:r w:rsidRPr="482BA739">
        <w:rPr>
          <w:rFonts w:asciiTheme="minorHAnsi" w:hAnsiTheme="minorHAnsi" w:cstheme="minorBidi"/>
          <w:sz w:val="22"/>
          <w:szCs w:val="22"/>
        </w:rPr>
        <w:t xml:space="preserve">The sequence datasets supporting the conclusions of this article are available at </w:t>
      </w:r>
      <w:hyperlink r:id="rId17">
        <w:r w:rsidRPr="482BA739">
          <w:rPr>
            <w:rStyle w:val="Hyperlink"/>
            <w:rFonts w:asciiTheme="minorHAnsi" w:hAnsiTheme="minorHAnsi" w:cstheme="minorBidi"/>
            <w:sz w:val="22"/>
            <w:szCs w:val="22"/>
          </w:rPr>
          <w:t>https://www.ncbi.nlm.nih.gov/bioproject/?term=PRJNA1302657</w:t>
        </w:r>
      </w:hyperlink>
      <w:r w:rsidRPr="482BA739">
        <w:rPr>
          <w:rFonts w:asciiTheme="minorHAnsi" w:hAnsiTheme="minorHAnsi" w:cstheme="minorBidi"/>
          <w:sz w:val="22"/>
          <w:szCs w:val="22"/>
        </w:rPr>
        <w:t xml:space="preserve">. Code used to conduct all </w:t>
      </w:r>
      <w:proofErr w:type="spellStart"/>
      <w:r w:rsidRPr="482BA739">
        <w:rPr>
          <w:rFonts w:asciiTheme="minorHAnsi" w:hAnsiTheme="minorHAnsi" w:cstheme="minorBidi"/>
          <w:sz w:val="22"/>
          <w:szCs w:val="22"/>
        </w:rPr>
        <w:t>RNASeq</w:t>
      </w:r>
      <w:proofErr w:type="spellEnd"/>
      <w:r w:rsidRPr="482BA739">
        <w:rPr>
          <w:rFonts w:asciiTheme="minorHAnsi" w:hAnsiTheme="minorHAnsi" w:cstheme="minorBidi"/>
          <w:sz w:val="22"/>
          <w:szCs w:val="22"/>
        </w:rPr>
        <w:t xml:space="preserve"> analyses is available at </w:t>
      </w:r>
      <w:hyperlink r:id="rId18">
        <w:r w:rsidRPr="482BA739">
          <w:rPr>
            <w:rStyle w:val="Hyperlink"/>
            <w:rFonts w:asciiTheme="minorHAnsi" w:hAnsiTheme="minorHAnsi" w:cstheme="minorBidi"/>
            <w:sz w:val="22"/>
            <w:szCs w:val="22"/>
          </w:rPr>
          <w:t>https://github.com/ogosborne/A.glyphus_Bd_pre-exposure_RNAseq/</w:t>
        </w:r>
      </w:hyperlink>
      <w:r w:rsidRPr="482BA739">
        <w:rPr>
          <w:rFonts w:ascii="Calibri" w:eastAsia="Calibri" w:hAnsi="Calibri" w:cs="Calibri"/>
          <w:sz w:val="22"/>
          <w:szCs w:val="22"/>
        </w:rPr>
        <w:t xml:space="preserve"> and </w:t>
      </w:r>
      <w:hyperlink r:id="rId19">
        <w:r w:rsidRPr="482BA739">
          <w:rPr>
            <w:rStyle w:val="Hyperlink"/>
            <w:rFonts w:ascii="Calibri" w:eastAsia="Calibri" w:hAnsi="Calibri" w:cs="Calibri"/>
            <w:sz w:val="22"/>
            <w:szCs w:val="22"/>
          </w:rPr>
          <w:t>https://github.com/amphibiarik/A.glyphus_Bd_exposure_16s-ITS_analyses</w:t>
        </w:r>
      </w:hyperlink>
      <w:r w:rsidRPr="482BA739">
        <w:rPr>
          <w:rFonts w:asciiTheme="minorHAnsi" w:hAnsiTheme="minorHAnsi" w:cstheme="minorBidi"/>
          <w:sz w:val="22"/>
          <w:szCs w:val="22"/>
        </w:rPr>
        <w:t xml:space="preserve"> for 16S and ITS analyses. </w:t>
      </w:r>
    </w:p>
    <w:p w14:paraId="2067F98F" w14:textId="77777777" w:rsidR="00481650" w:rsidRPr="009862C5" w:rsidRDefault="00481650" w:rsidP="00547AFA">
      <w:pPr>
        <w:spacing w:line="480" w:lineRule="auto"/>
        <w:rPr>
          <w:rFonts w:asciiTheme="minorHAnsi" w:hAnsiTheme="minorHAnsi" w:cstheme="minorHAnsi"/>
          <w:sz w:val="22"/>
          <w:szCs w:val="22"/>
        </w:rPr>
      </w:pPr>
    </w:p>
    <w:p w14:paraId="07391339" w14:textId="3D8DA502" w:rsidR="00481650" w:rsidRPr="009862C5" w:rsidRDefault="00481650" w:rsidP="00547AFA">
      <w:pPr>
        <w:spacing w:line="480" w:lineRule="auto"/>
        <w:rPr>
          <w:rFonts w:asciiTheme="minorHAnsi" w:hAnsiTheme="minorHAnsi" w:cstheme="minorHAnsi"/>
          <w:b/>
          <w:bCs/>
          <w:sz w:val="22"/>
          <w:szCs w:val="22"/>
        </w:rPr>
      </w:pPr>
      <w:r w:rsidRPr="009862C5">
        <w:rPr>
          <w:rFonts w:asciiTheme="minorHAnsi" w:hAnsiTheme="minorHAnsi" w:cstheme="minorHAnsi"/>
          <w:b/>
          <w:bCs/>
          <w:sz w:val="22"/>
          <w:szCs w:val="22"/>
        </w:rPr>
        <w:t>Declarations</w:t>
      </w:r>
    </w:p>
    <w:p w14:paraId="57683BEE" w14:textId="201CF92C" w:rsidR="00481650" w:rsidRPr="009862C5" w:rsidRDefault="00481650" w:rsidP="00547AFA">
      <w:pPr>
        <w:spacing w:line="480" w:lineRule="auto"/>
        <w:rPr>
          <w:rFonts w:asciiTheme="minorHAnsi" w:hAnsiTheme="minorHAnsi" w:cstheme="minorHAnsi"/>
          <w:b/>
          <w:bCs/>
          <w:sz w:val="22"/>
          <w:szCs w:val="22"/>
        </w:rPr>
      </w:pPr>
      <w:r w:rsidRPr="009862C5">
        <w:rPr>
          <w:rFonts w:asciiTheme="minorHAnsi" w:hAnsiTheme="minorHAnsi" w:cstheme="minorHAnsi"/>
          <w:b/>
          <w:bCs/>
          <w:sz w:val="22"/>
          <w:szCs w:val="22"/>
        </w:rPr>
        <w:t>Ethics approval and consent to participate</w:t>
      </w:r>
    </w:p>
    <w:p w14:paraId="6402220D" w14:textId="3E90D169" w:rsidR="004763DE" w:rsidRPr="009862C5" w:rsidRDefault="00481650" w:rsidP="00547AFA">
      <w:pPr>
        <w:spacing w:line="480" w:lineRule="auto"/>
        <w:rPr>
          <w:rFonts w:asciiTheme="minorHAnsi" w:hAnsiTheme="minorHAnsi" w:cstheme="minorHAnsi"/>
          <w:sz w:val="22"/>
          <w:szCs w:val="22"/>
        </w:rPr>
      </w:pPr>
      <w:r w:rsidRPr="009862C5">
        <w:rPr>
          <w:rFonts w:asciiTheme="minorHAnsi" w:hAnsiTheme="minorHAnsi" w:cstheme="minorHAnsi"/>
          <w:sz w:val="22"/>
          <w:szCs w:val="22"/>
        </w:rPr>
        <w:t xml:space="preserve">Animal experiments were reviewed and approved by the Smithsonian Tropical Research </w:t>
      </w:r>
      <w:r w:rsidR="00CF35AD" w:rsidRPr="009862C5">
        <w:rPr>
          <w:rFonts w:asciiTheme="minorHAnsi" w:hAnsiTheme="minorHAnsi" w:cstheme="minorHAnsi"/>
          <w:sz w:val="22"/>
          <w:szCs w:val="22"/>
        </w:rPr>
        <w:t>Institute</w:t>
      </w:r>
      <w:r w:rsidRPr="009862C5">
        <w:rPr>
          <w:rFonts w:asciiTheme="minorHAnsi" w:hAnsiTheme="minorHAnsi" w:cstheme="minorHAnsi"/>
          <w:sz w:val="22"/>
          <w:szCs w:val="22"/>
        </w:rPr>
        <w:t xml:space="preserve"> Institutional Animal Care and Use Committee SI-21009.</w:t>
      </w:r>
    </w:p>
    <w:p w14:paraId="6D1317B5" w14:textId="77777777" w:rsidR="00481650" w:rsidRPr="009862C5" w:rsidRDefault="00481650" w:rsidP="00547AFA">
      <w:pPr>
        <w:spacing w:line="480" w:lineRule="auto"/>
        <w:rPr>
          <w:rFonts w:asciiTheme="minorHAnsi" w:hAnsiTheme="minorHAnsi" w:cstheme="minorHAnsi"/>
          <w:sz w:val="22"/>
          <w:szCs w:val="22"/>
        </w:rPr>
      </w:pPr>
    </w:p>
    <w:p w14:paraId="512068B8" w14:textId="5A405D0B" w:rsidR="00481650" w:rsidRPr="009862C5" w:rsidRDefault="00481650" w:rsidP="00547AFA">
      <w:pPr>
        <w:spacing w:line="480" w:lineRule="auto"/>
        <w:rPr>
          <w:rFonts w:asciiTheme="minorHAnsi" w:hAnsiTheme="minorHAnsi" w:cstheme="minorHAnsi"/>
          <w:b/>
          <w:bCs/>
          <w:sz w:val="22"/>
          <w:szCs w:val="22"/>
        </w:rPr>
      </w:pPr>
      <w:r w:rsidRPr="009862C5">
        <w:rPr>
          <w:rFonts w:asciiTheme="minorHAnsi" w:hAnsiTheme="minorHAnsi" w:cstheme="minorHAnsi"/>
          <w:b/>
          <w:bCs/>
          <w:sz w:val="22"/>
          <w:szCs w:val="22"/>
        </w:rPr>
        <w:t>Consent for publication</w:t>
      </w:r>
    </w:p>
    <w:p w14:paraId="5CE42FBD" w14:textId="2D924F05" w:rsidR="00481650" w:rsidRPr="009862C5" w:rsidRDefault="00481650" w:rsidP="00547AFA">
      <w:pPr>
        <w:spacing w:line="480" w:lineRule="auto"/>
        <w:rPr>
          <w:rFonts w:asciiTheme="minorHAnsi" w:hAnsiTheme="minorHAnsi" w:cstheme="minorHAnsi"/>
          <w:sz w:val="22"/>
          <w:szCs w:val="22"/>
        </w:rPr>
      </w:pPr>
      <w:r w:rsidRPr="009862C5">
        <w:rPr>
          <w:rFonts w:asciiTheme="minorHAnsi" w:hAnsiTheme="minorHAnsi" w:cstheme="minorHAnsi"/>
          <w:sz w:val="22"/>
          <w:szCs w:val="22"/>
        </w:rPr>
        <w:t xml:space="preserve">Not applicable. </w:t>
      </w:r>
    </w:p>
    <w:p w14:paraId="53DEC7EE" w14:textId="77777777" w:rsidR="002F0578" w:rsidRPr="009862C5" w:rsidRDefault="002F0578" w:rsidP="00547AFA">
      <w:pPr>
        <w:spacing w:line="480" w:lineRule="auto"/>
        <w:rPr>
          <w:rFonts w:asciiTheme="minorHAnsi" w:hAnsiTheme="minorHAnsi" w:cstheme="minorHAnsi"/>
          <w:sz w:val="22"/>
          <w:szCs w:val="22"/>
        </w:rPr>
      </w:pPr>
    </w:p>
    <w:p w14:paraId="2C4E10C3" w14:textId="5A4FC82A" w:rsidR="00481650" w:rsidRPr="009862C5" w:rsidRDefault="00481650" w:rsidP="00547AFA">
      <w:pPr>
        <w:spacing w:line="480" w:lineRule="auto"/>
        <w:rPr>
          <w:rFonts w:asciiTheme="minorHAnsi" w:hAnsiTheme="minorHAnsi" w:cstheme="minorHAnsi"/>
          <w:b/>
          <w:bCs/>
          <w:sz w:val="22"/>
          <w:szCs w:val="22"/>
        </w:rPr>
      </w:pPr>
      <w:r w:rsidRPr="009862C5">
        <w:rPr>
          <w:rFonts w:asciiTheme="minorHAnsi" w:hAnsiTheme="minorHAnsi" w:cstheme="minorHAnsi"/>
          <w:b/>
          <w:bCs/>
          <w:sz w:val="22"/>
          <w:szCs w:val="22"/>
        </w:rPr>
        <w:t xml:space="preserve">Competing interests. </w:t>
      </w:r>
    </w:p>
    <w:p w14:paraId="511F5A9F" w14:textId="4C6E6A79" w:rsidR="00481650" w:rsidRPr="009862C5" w:rsidRDefault="5550AC48" w:rsidP="00547AFA">
      <w:pPr>
        <w:spacing w:line="480" w:lineRule="auto"/>
        <w:rPr>
          <w:rFonts w:asciiTheme="minorHAnsi" w:hAnsiTheme="minorHAnsi" w:cstheme="minorHAnsi"/>
          <w:sz w:val="22"/>
          <w:szCs w:val="22"/>
        </w:rPr>
      </w:pPr>
      <w:r w:rsidRPr="5550AC48">
        <w:rPr>
          <w:rFonts w:asciiTheme="minorHAnsi" w:hAnsiTheme="minorHAnsi" w:cstheme="minorBidi"/>
          <w:sz w:val="22"/>
          <w:szCs w:val="22"/>
        </w:rPr>
        <w:t xml:space="preserve">The Authors declare no competing interests. </w:t>
      </w:r>
    </w:p>
    <w:p w14:paraId="4A18404E" w14:textId="7739DCA3" w:rsidR="5550AC48" w:rsidRDefault="5550AC48" w:rsidP="5550AC48">
      <w:pPr>
        <w:spacing w:line="480" w:lineRule="auto"/>
        <w:rPr>
          <w:rFonts w:asciiTheme="minorHAnsi" w:hAnsiTheme="minorHAnsi" w:cstheme="minorBidi"/>
          <w:sz w:val="22"/>
          <w:szCs w:val="22"/>
        </w:rPr>
      </w:pPr>
    </w:p>
    <w:p w14:paraId="2708452E" w14:textId="28BA2621" w:rsidR="5550AC48" w:rsidRDefault="75F9018D" w:rsidP="5550AC48">
      <w:pPr>
        <w:spacing w:line="480" w:lineRule="auto"/>
        <w:rPr>
          <w:rFonts w:asciiTheme="minorHAnsi" w:hAnsiTheme="minorHAnsi" w:cstheme="minorBidi"/>
          <w:b/>
          <w:bCs/>
          <w:sz w:val="22"/>
          <w:szCs w:val="22"/>
        </w:rPr>
      </w:pPr>
      <w:r w:rsidRPr="75F9018D">
        <w:rPr>
          <w:rFonts w:asciiTheme="minorHAnsi" w:hAnsiTheme="minorHAnsi" w:cstheme="minorBidi"/>
          <w:b/>
          <w:bCs/>
          <w:sz w:val="22"/>
          <w:szCs w:val="22"/>
        </w:rPr>
        <w:t>Disclaimer.</w:t>
      </w:r>
    </w:p>
    <w:p w14:paraId="27BD9B96" w14:textId="7B2F7D78" w:rsidR="5550AC48" w:rsidRDefault="48F4CC74" w:rsidP="48F4CC74">
      <w:pPr>
        <w:spacing w:line="480" w:lineRule="auto"/>
        <w:rPr>
          <w:rFonts w:asciiTheme="minorHAnsi" w:hAnsiTheme="minorHAnsi" w:cstheme="minorBidi"/>
          <w:sz w:val="22"/>
          <w:szCs w:val="22"/>
        </w:rPr>
      </w:pPr>
      <w:r w:rsidRPr="48F4CC74">
        <w:rPr>
          <w:rFonts w:asciiTheme="minorHAnsi" w:hAnsiTheme="minorHAnsi" w:cstheme="minorBidi"/>
          <w:sz w:val="22"/>
          <w:szCs w:val="22"/>
        </w:rPr>
        <w:t>Official contribution of the National Institute of Standards and Technology (NIST); not subject to copyright in the United States. All opinions expressed in this paper are the authors’ and do not necessarily reflect the policies and views of NIST or affiliated venues. Certain pieces of commercial equipment, instruments, or materials are identified in this paper to specify the experimental procedure adequately. Such identification is not intended to imply recommendation or endorsement by NIST, nor is it intended to imply that the materials or equipment identified are necessarily the best available for the purpose.</w:t>
      </w:r>
    </w:p>
    <w:p w14:paraId="7424FF89" w14:textId="4D27A494" w:rsidR="5550AC48" w:rsidRDefault="5550AC48" w:rsidP="5550AC48">
      <w:pPr>
        <w:spacing w:line="480" w:lineRule="auto"/>
        <w:rPr>
          <w:rFonts w:asciiTheme="minorHAnsi" w:hAnsiTheme="minorHAnsi" w:cstheme="minorBidi"/>
          <w:sz w:val="22"/>
          <w:szCs w:val="22"/>
        </w:rPr>
      </w:pPr>
    </w:p>
    <w:p w14:paraId="04186777" w14:textId="77777777" w:rsidR="00CF35AD" w:rsidRPr="009862C5" w:rsidRDefault="00CF35AD" w:rsidP="00CF35AD">
      <w:pPr>
        <w:spacing w:line="480" w:lineRule="auto"/>
        <w:rPr>
          <w:rFonts w:asciiTheme="minorHAnsi" w:hAnsiTheme="minorHAnsi" w:cstheme="minorHAnsi"/>
          <w:b/>
          <w:bCs/>
          <w:sz w:val="22"/>
          <w:szCs w:val="22"/>
        </w:rPr>
      </w:pPr>
    </w:p>
    <w:p w14:paraId="28508A2E" w14:textId="1A9C1E09" w:rsidR="00CF35AD" w:rsidRDefault="00CF35AD" w:rsidP="00F443AB">
      <w:pPr>
        <w:spacing w:line="480" w:lineRule="auto"/>
        <w:rPr>
          <w:rFonts w:cstheme="minorHAnsi"/>
          <w:b/>
          <w:bCs/>
        </w:rPr>
      </w:pPr>
      <w:r w:rsidRPr="009862C5">
        <w:rPr>
          <w:rFonts w:asciiTheme="minorHAnsi" w:hAnsiTheme="minorHAnsi" w:cstheme="minorHAnsi"/>
          <w:b/>
          <w:bCs/>
          <w:sz w:val="22"/>
          <w:szCs w:val="22"/>
        </w:rPr>
        <w:t>References</w:t>
      </w:r>
    </w:p>
    <w:p w14:paraId="78971986" w14:textId="77777777" w:rsidR="00B449D3" w:rsidRPr="00B449D3" w:rsidRDefault="00F443AB" w:rsidP="00B449D3">
      <w:pPr>
        <w:pStyle w:val="Bibliography"/>
      </w:pPr>
      <w:r>
        <w:rPr>
          <w:rFonts w:cstheme="minorHAnsi"/>
          <w:b/>
          <w:bCs/>
        </w:rPr>
        <w:fldChar w:fldCharType="begin"/>
      </w:r>
      <w:r w:rsidR="00E865C5">
        <w:rPr>
          <w:rFonts w:cstheme="minorHAnsi"/>
          <w:b/>
          <w:bCs/>
        </w:rPr>
        <w:instrText xml:space="preserve"> ADDIN ZOTERO_BIBL {"uncited":[],"omitted":[],"custom":[]} CSL_BIBLIOGRAPHY </w:instrText>
      </w:r>
      <w:r>
        <w:rPr>
          <w:rFonts w:cstheme="minorHAnsi"/>
          <w:b/>
          <w:bCs/>
        </w:rPr>
        <w:fldChar w:fldCharType="separate"/>
      </w:r>
      <w:r w:rsidR="00B449D3" w:rsidRPr="00B449D3">
        <w:t>1.</w:t>
      </w:r>
      <w:r w:rsidR="00B449D3" w:rsidRPr="00B449D3">
        <w:tab/>
        <w:t>Scheele BC, Pasmans F, Skerratt LF, Berger L, Martel A, Beukema W, et al. Amphibian fungal panzootic causes catastrophic and ongoing loss of biodiversity. Science. 2019 Mar 29;363(6434):1459–63. doi:10.1126/science.aav0379 PubMed PMID: 30923224.</w:t>
      </w:r>
    </w:p>
    <w:p w14:paraId="57BB0F35" w14:textId="77777777" w:rsidR="00B449D3" w:rsidRPr="00B449D3" w:rsidRDefault="00B449D3" w:rsidP="00B449D3">
      <w:pPr>
        <w:pStyle w:val="Bibliography"/>
      </w:pPr>
      <w:r w:rsidRPr="00B449D3">
        <w:t>2.</w:t>
      </w:r>
      <w:r w:rsidRPr="00B449D3">
        <w:tab/>
        <w:t xml:space="preserve">Ellison AR, Savage AE, DiRenzo GV, Langhammer P, Lips KR, Zamudio KR. Fighting a losing battle: Vigorous immune response countered by pathogen suppression of host defenses in the chytridiomycosis-susceptible frog </w:t>
      </w:r>
      <w:r w:rsidRPr="00B449D3">
        <w:rPr>
          <w:i/>
          <w:iCs/>
        </w:rPr>
        <w:t xml:space="preserve"> Atelopus zeteki </w:t>
      </w:r>
      <w:r w:rsidRPr="00B449D3">
        <w:t>. G3: Genes Genomes Genetics. 2014;4(July):1275–89. doi:10.1534/g3.114.010744 PubMed PMID: 24841130.</w:t>
      </w:r>
    </w:p>
    <w:p w14:paraId="3E4342E4" w14:textId="77777777" w:rsidR="00B449D3" w:rsidRPr="00B449D3" w:rsidRDefault="00B449D3" w:rsidP="00B449D3">
      <w:pPr>
        <w:pStyle w:val="Bibliography"/>
      </w:pPr>
      <w:r w:rsidRPr="00B449D3">
        <w:t>3.</w:t>
      </w:r>
      <w:r w:rsidRPr="00B449D3">
        <w:tab/>
        <w:t xml:space="preserve">McCaffery R, Richards-Zawacki CL, Lips KR. The demography of </w:t>
      </w:r>
      <w:r w:rsidRPr="00B449D3">
        <w:rPr>
          <w:i/>
          <w:iCs/>
        </w:rPr>
        <w:t>Atelopus</w:t>
      </w:r>
      <w:r w:rsidRPr="00B449D3">
        <w:t xml:space="preserve"> decline: Harlequin frog survival and abundance in central Panama prior to and during a disease outbreak. Global Ecology and Conservation. 2015;4:232–42. doi:10.1016/j.gecco.2015.07.003</w:t>
      </w:r>
    </w:p>
    <w:p w14:paraId="3569E81D" w14:textId="77777777" w:rsidR="00B449D3" w:rsidRPr="00B449D3" w:rsidRDefault="00B449D3" w:rsidP="00B449D3">
      <w:pPr>
        <w:pStyle w:val="Bibliography"/>
      </w:pPr>
      <w:r w:rsidRPr="00B449D3">
        <w:lastRenderedPageBreak/>
        <w:t>4.</w:t>
      </w:r>
      <w:r w:rsidRPr="00B449D3">
        <w:tab/>
        <w:t xml:space="preserve">Lampo M, Señaris C, García CZ. Population dynamics of the critically endangered toad </w:t>
      </w:r>
      <w:r w:rsidRPr="00B449D3">
        <w:rPr>
          <w:i/>
          <w:iCs/>
        </w:rPr>
        <w:t>Atelopus cruciger</w:t>
      </w:r>
      <w:r w:rsidRPr="00B449D3">
        <w:t xml:space="preserve"> and the fungal disease chytridiomycosis. Gratwicke B, editor. PLOS ONE. 2017 Jun 1;12(6):e0179007. doi:10.1371/journal.pone.0179007</w:t>
      </w:r>
    </w:p>
    <w:p w14:paraId="3AFA7EB8" w14:textId="77777777" w:rsidR="00B449D3" w:rsidRPr="00B449D3" w:rsidRDefault="00B449D3" w:rsidP="00B449D3">
      <w:pPr>
        <w:pStyle w:val="Bibliography"/>
      </w:pPr>
      <w:r w:rsidRPr="00B449D3">
        <w:t>5.</w:t>
      </w:r>
      <w:r w:rsidRPr="00B449D3">
        <w:tab/>
        <w:t>Becker MH, Brophy JAN, Barrett K, Bronikowski E, Evans M, Glassey E, et al. Genetically modifying skin microbe to produce violacein and augmenting microbiome did not defend Panamanian golden frogs from disease. ISME Communications 2021 1:1. 2021 Oct 18;1(1):1–10. doi:10.1038/s43705-021-00044-w</w:t>
      </w:r>
    </w:p>
    <w:p w14:paraId="36DC3F0C" w14:textId="77777777" w:rsidR="00B449D3" w:rsidRPr="00B449D3" w:rsidRDefault="00B449D3" w:rsidP="00B449D3">
      <w:pPr>
        <w:pStyle w:val="Bibliography"/>
      </w:pPr>
      <w:r w:rsidRPr="00B449D3">
        <w:t>6.</w:t>
      </w:r>
      <w:r w:rsidRPr="00B449D3">
        <w:tab/>
        <w:t>Lötters S, Plewnia A, Catenazzi A, Neam K, Acosta-Galvis AR, Alarcon Vela Y, et al. Ongoing harlequin toad declines suggest the amphibian extinction crisis is still an emergency. Commun Earth Environ. 2023 Nov 11;4(1):1–8. doi:10.1038/s43247-023-01069-w</w:t>
      </w:r>
    </w:p>
    <w:p w14:paraId="3A6B7FE8" w14:textId="77777777" w:rsidR="00B449D3" w:rsidRPr="00B449D3" w:rsidRDefault="00B449D3" w:rsidP="00B449D3">
      <w:pPr>
        <w:pStyle w:val="Bibliography"/>
      </w:pPr>
      <w:r w:rsidRPr="00B449D3">
        <w:t>7.</w:t>
      </w:r>
      <w:r w:rsidRPr="00B449D3">
        <w:tab/>
        <w:t>Re:wild, Synchronicity Earth, IUCN SSC Amphibian Specialist Group. [Internet]. Re:Wild; 2023. Available from: https://www.iucn-amphibians.org/wp-content/uploads/sites/4/2023/10/SOTWA-final-10.4.23.pdf</w:t>
      </w:r>
    </w:p>
    <w:p w14:paraId="4916CB3C" w14:textId="77777777" w:rsidR="00B449D3" w:rsidRPr="00B449D3" w:rsidRDefault="00B449D3" w:rsidP="00B449D3">
      <w:pPr>
        <w:pStyle w:val="Bibliography"/>
      </w:pPr>
      <w:r w:rsidRPr="00B449D3">
        <w:t>8.</w:t>
      </w:r>
      <w:r w:rsidRPr="00B449D3">
        <w:tab/>
        <w:t>Lewis CHR, Richards-Zawacki CL, Ibáñez R, Luedtke J, Voyles J, Houser P, et al. Conserving Panamanian harlequin frogs by integrating captive-breeding and research programs. Biological Conservation. 2019 Aug 1;236:180–7. doi:10.1016/j.biocon.2019.05.029</w:t>
      </w:r>
    </w:p>
    <w:p w14:paraId="0A7FA27A" w14:textId="77777777" w:rsidR="00B449D3" w:rsidRPr="00B449D3" w:rsidRDefault="00B449D3" w:rsidP="00B449D3">
      <w:pPr>
        <w:pStyle w:val="Bibliography"/>
      </w:pPr>
      <w:r w:rsidRPr="00B449D3">
        <w:t>9.</w:t>
      </w:r>
      <w:r w:rsidRPr="00B449D3">
        <w:tab/>
        <w:t>Grogan LF, Robert J, Berger L, Skerratt LF, Scheele BC, Castley JG, et al. Review of the Amphibian Immune Response to Chytridiomycosis, and Future Directions. Front Immunol. 2018;9. doi:10.3389/fimmu.2018.02536</w:t>
      </w:r>
    </w:p>
    <w:p w14:paraId="5D88E874" w14:textId="77777777" w:rsidR="00B449D3" w:rsidRPr="00B449D3" w:rsidRDefault="00B449D3" w:rsidP="00B449D3">
      <w:pPr>
        <w:pStyle w:val="Bibliography"/>
      </w:pPr>
      <w:r w:rsidRPr="00B449D3">
        <w:t>10.</w:t>
      </w:r>
      <w:r w:rsidRPr="00B449D3">
        <w:tab/>
        <w:t xml:space="preserve">Rollins-Smith LA. Global amphibian declines, disease, and the ongoing battle between </w:t>
      </w:r>
      <w:r w:rsidRPr="00B449D3">
        <w:rPr>
          <w:i/>
          <w:iCs/>
        </w:rPr>
        <w:t>Batrachochytrium</w:t>
      </w:r>
      <w:r w:rsidRPr="00B449D3">
        <w:t xml:space="preserve"> fungi and the immune system. Herpetologica. 2020;76(2):178–88. doi:10.1655/0018-0831-76.2.178</w:t>
      </w:r>
    </w:p>
    <w:p w14:paraId="684A8494" w14:textId="77777777" w:rsidR="00B449D3" w:rsidRPr="00B449D3" w:rsidRDefault="00B449D3" w:rsidP="00B449D3">
      <w:pPr>
        <w:pStyle w:val="Bibliography"/>
      </w:pPr>
      <w:r w:rsidRPr="00B449D3">
        <w:t>11.</w:t>
      </w:r>
      <w:r w:rsidRPr="00B449D3">
        <w:tab/>
        <w:t>Jiménez RR, Carfagno A, Linhoff L, Gratwicke B, Woodhams DC, Chafran LS, et al. Inhibitory Bacterial Diversity and Mucosome Function Differentiate Susceptibility of Appalachian Salamanders to Chytrid Fungal Infection. Applied and Environmental Microbiology. 2022 Mar 29;88(8):e01818-21. doi:10.1128/aem.01818-21</w:t>
      </w:r>
    </w:p>
    <w:p w14:paraId="0DCD04D3" w14:textId="77777777" w:rsidR="00B449D3" w:rsidRPr="00B449D3" w:rsidRDefault="00B449D3" w:rsidP="00B449D3">
      <w:pPr>
        <w:pStyle w:val="Bibliography"/>
      </w:pPr>
      <w:r w:rsidRPr="00B449D3">
        <w:t>12.</w:t>
      </w:r>
      <w:r w:rsidRPr="00B449D3">
        <w:tab/>
        <w:t>Becker MH, Walke JB, Cikanek S, Savage AE, Mattheus N, Santiago CN, et al. Composition of symbiotic bacteria predicts survival in Panamanian golden frogs infected with a lethal fungus. Proceedings of the Royal Society B. 2015;282(1805):20142881. doi:10.1098/rspb.2014.2881 PubMed PMID: 25788591.</w:t>
      </w:r>
    </w:p>
    <w:p w14:paraId="0D3ECB14" w14:textId="77777777" w:rsidR="00B449D3" w:rsidRPr="00B449D3" w:rsidRDefault="00B449D3" w:rsidP="00B449D3">
      <w:pPr>
        <w:pStyle w:val="Bibliography"/>
      </w:pPr>
      <w:r w:rsidRPr="00B449D3">
        <w:t>13.</w:t>
      </w:r>
      <w:r w:rsidRPr="00B449D3">
        <w:tab/>
        <w:t>Becker MH, Harris RN, Minbiole KPC, Schwantes CR, Rollins-Smith LA, Reinert LK, et al. Towards a better understanding of the use of probiotics for preventing chytridiomycosis in Panamanian golden frogs. EcoHealth. 2011 Dec;8(4):501–6. doi:10.1007/s10393-012-0743-0 PubMed PMID: 22328095.</w:t>
      </w:r>
    </w:p>
    <w:p w14:paraId="3D016920" w14:textId="77777777" w:rsidR="00B449D3" w:rsidRPr="00B449D3" w:rsidRDefault="00B449D3" w:rsidP="00B449D3">
      <w:pPr>
        <w:pStyle w:val="Bibliography"/>
      </w:pPr>
      <w:r w:rsidRPr="00B449D3">
        <w:t>14.</w:t>
      </w:r>
      <w:r w:rsidRPr="00B449D3">
        <w:tab/>
        <w:t>Kaganer AW, Ossiboff RJ, Keith NI, Schuler KL, Comizzoli P, Hare MP, et al. Immune priming prior to pathogen exposure sheds light on the relationship between host, microbiome and pathogen in disease. Royal Society Open Science. 2023 Feb;10(2). doi:10.1098/rsos.220810</w:t>
      </w:r>
    </w:p>
    <w:p w14:paraId="7A2AC691" w14:textId="77777777" w:rsidR="00B449D3" w:rsidRPr="00B449D3" w:rsidRDefault="00B449D3" w:rsidP="00B449D3">
      <w:pPr>
        <w:pStyle w:val="Bibliography"/>
      </w:pPr>
      <w:r w:rsidRPr="00B449D3">
        <w:t>15.</w:t>
      </w:r>
      <w:r w:rsidRPr="00B449D3">
        <w:tab/>
        <w:t>Oliveira LVN, Wang R, Specht CA, Levitz SM. Vaccines for human fungal diseases: close but still a long way to go. npj Vaccines. 2021 Mar 3;6(1):1–8. doi:10.1038/s41541-021-00294-8</w:t>
      </w:r>
    </w:p>
    <w:p w14:paraId="56108FA0" w14:textId="77777777" w:rsidR="00B449D3" w:rsidRPr="00B449D3" w:rsidRDefault="00B449D3" w:rsidP="00B449D3">
      <w:pPr>
        <w:pStyle w:val="Bibliography"/>
      </w:pPr>
      <w:r w:rsidRPr="00B449D3">
        <w:lastRenderedPageBreak/>
        <w:t>16.</w:t>
      </w:r>
      <w:r w:rsidRPr="00B449D3">
        <w:tab/>
        <w:t>Rocke TE, Kingstad-Bakke B, Wüthrich M, Stading B, Abbott RC, Isidoro-Ayza M, et al. Virally-vectored vaccine candidates against white-nose syndrome induce anti-fungal immune response in little brown bats (</w:t>
      </w:r>
      <w:r w:rsidRPr="00B449D3">
        <w:rPr>
          <w:i/>
          <w:iCs/>
        </w:rPr>
        <w:t>Myotis lucifugus</w:t>
      </w:r>
      <w:r w:rsidRPr="00B449D3">
        <w:t>). Sci Rep. 2019 May 1;9(1):6788. doi:10.1038/s41598-019-43210-w</w:t>
      </w:r>
    </w:p>
    <w:p w14:paraId="5462DCFE" w14:textId="77777777" w:rsidR="00B449D3" w:rsidRPr="00B449D3" w:rsidRDefault="00B449D3" w:rsidP="00B449D3">
      <w:pPr>
        <w:pStyle w:val="Bibliography"/>
      </w:pPr>
      <w:r w:rsidRPr="00B449D3">
        <w:t>17.</w:t>
      </w:r>
      <w:r w:rsidRPr="00B449D3">
        <w:tab/>
        <w:t>Case NT, Gurr SJ, Fisher MC, Blehert DS, Boone C, Casadevall A, et al. Fungal impacts on Earth’s ecosystems. Nature. 2025 Feb 6;638(8049):49–57. doi:10.1038/s41586-024-08419-4</w:t>
      </w:r>
    </w:p>
    <w:p w14:paraId="6FC4DD61" w14:textId="77777777" w:rsidR="00B449D3" w:rsidRPr="00B449D3" w:rsidRDefault="00B449D3" w:rsidP="00B449D3">
      <w:pPr>
        <w:pStyle w:val="Bibliography"/>
      </w:pPr>
      <w:r w:rsidRPr="00B449D3">
        <w:t>18.</w:t>
      </w:r>
      <w:r w:rsidRPr="00B449D3">
        <w:tab/>
        <w:t>McMahon TA, Sears BF, Venesky MD, Bessler SM, Brown JM, Deutsch K, et al. Amphibians acquire resistance to live and dead fungus overcoming fungal immunosuppression. Nature. 2014;511(7508):224–7. doi:10.1038/nature13491</w:t>
      </w:r>
    </w:p>
    <w:p w14:paraId="6E6DBBA9" w14:textId="77777777" w:rsidR="00B449D3" w:rsidRPr="00B449D3" w:rsidRDefault="00B449D3" w:rsidP="00B449D3">
      <w:pPr>
        <w:pStyle w:val="Bibliography"/>
      </w:pPr>
      <w:r w:rsidRPr="00B449D3">
        <w:t>19.</w:t>
      </w:r>
      <w:r w:rsidRPr="00B449D3">
        <w:tab/>
        <w:t>Waddle AW, Rivera R, Rice H, Keenan EC, Rezaei G, Levy JE, et al. Amphibian resistance to chytridiomycosis increases following low-virulence chytrid fungal infection or drug-mediated clearance. Journal of Applied Ecology. 2021;58(10):2053–64. doi:10.1111/1365-2664.13974</w:t>
      </w:r>
    </w:p>
    <w:p w14:paraId="02C5321E" w14:textId="77777777" w:rsidR="00B449D3" w:rsidRPr="00B449D3" w:rsidRDefault="00B449D3" w:rsidP="00B449D3">
      <w:pPr>
        <w:pStyle w:val="Bibliography"/>
      </w:pPr>
      <w:r w:rsidRPr="00B449D3">
        <w:t>20.</w:t>
      </w:r>
      <w:r w:rsidRPr="00B449D3">
        <w:tab/>
        <w:t>Waddle AW, Clulow S, Aquilina A, Sauer EL, Kaiser SW, Miller C, et al. Hotspot shelters stimulate frog resistance to chytridiomycosis. Nature. 2024 Jul 11;631(8020):344–9. doi:10.1038/s41586-024-07582-y</w:t>
      </w:r>
    </w:p>
    <w:p w14:paraId="622055C7" w14:textId="77777777" w:rsidR="00B449D3" w:rsidRPr="00B449D3" w:rsidRDefault="00B449D3" w:rsidP="00B449D3">
      <w:pPr>
        <w:pStyle w:val="Bibliography"/>
      </w:pPr>
      <w:r w:rsidRPr="00B449D3">
        <w:t>21.</w:t>
      </w:r>
      <w:r w:rsidRPr="00B449D3">
        <w:tab/>
        <w:t>Cashins SD, Grogan LF, McFadden M, Hunter D, Harlow PS, Berger L, et al. Prior Infection Does Not Improve Survival against the Amphibian Disease Chytridiomycosis. Gratwicke B, editor. PLoS ONE. 2013 Feb 22;8(2):1–7. doi:10.1371/journal.pone.0056747 PubMed PMID: 23451076.</w:t>
      </w:r>
    </w:p>
    <w:p w14:paraId="0D87ABEF" w14:textId="77777777" w:rsidR="00B449D3" w:rsidRPr="00B449D3" w:rsidRDefault="00B449D3" w:rsidP="00B449D3">
      <w:pPr>
        <w:pStyle w:val="Bibliography"/>
      </w:pPr>
      <w:r w:rsidRPr="00B449D3">
        <w:t>22.</w:t>
      </w:r>
      <w:r w:rsidRPr="00B449D3">
        <w:tab/>
        <w:t>Hudson MA, Young RP, Lopez J, Martin L, Fenton C, McCrea R, et al. In-situ itraconazole treatment improves survival rate during an amphibian chytridiomycosis epidemic. Biological Conservation. 2016 Mar;195:37–45. doi:10.1016/j.biocon.2015.12.041</w:t>
      </w:r>
    </w:p>
    <w:p w14:paraId="28DBA4E0" w14:textId="77777777" w:rsidR="00B449D3" w:rsidRPr="00B449D3" w:rsidRDefault="00B449D3" w:rsidP="00B449D3">
      <w:pPr>
        <w:pStyle w:val="Bibliography"/>
      </w:pPr>
      <w:r w:rsidRPr="00B449D3">
        <w:t>23.</w:t>
      </w:r>
      <w:r w:rsidRPr="00B449D3">
        <w:tab/>
        <w:t>Adams AJ, Bushell J, Grasso RL. To treat or not to treat? Experimental pathogen exposure, treatment, and release of a threatened amphibian. Ecosphere. 2022;13(12):e4294. doi:10.1002/ecs2.4294</w:t>
      </w:r>
    </w:p>
    <w:p w14:paraId="0D50EFEF" w14:textId="77777777" w:rsidR="00B449D3" w:rsidRPr="00B449D3" w:rsidRDefault="00B449D3" w:rsidP="00B449D3">
      <w:pPr>
        <w:pStyle w:val="Bibliography"/>
      </w:pPr>
      <w:r w:rsidRPr="00B449D3">
        <w:t>24.</w:t>
      </w:r>
      <w:r w:rsidRPr="00B449D3">
        <w:tab/>
        <w:t xml:space="preserve">McMahon TA, Garcia AM, Malinias AJ, Monsalve M, Muldro LC, Sisson EO, et al. Efficacy of Bd metabolite prophylaxis dose and duration on host defence against the deadly chytrid fungus </w:t>
      </w:r>
      <w:r w:rsidRPr="00B449D3">
        <w:rPr>
          <w:i/>
          <w:iCs/>
        </w:rPr>
        <w:t>Batrachochytrium dendrobatidis</w:t>
      </w:r>
      <w:r w:rsidRPr="00B449D3">
        <w:t>. Journal of Applied Ecology. 2024;61(12):3139–47. doi:10.1111/1365-2664.14818</w:t>
      </w:r>
    </w:p>
    <w:p w14:paraId="75114D08" w14:textId="77777777" w:rsidR="00B449D3" w:rsidRPr="00B449D3" w:rsidRDefault="00B449D3" w:rsidP="00B449D3">
      <w:pPr>
        <w:pStyle w:val="Bibliography"/>
      </w:pPr>
      <w:r w:rsidRPr="00B449D3">
        <w:t>25.</w:t>
      </w:r>
      <w:r w:rsidRPr="00B449D3">
        <w:tab/>
        <w:t>Siomko SA, Greenspan SE, Barnett KM, Neely WJ, Chtarbanova S, Woodhams DC, et al. Selection of an anti-pathogen skin microbiome following prophylaxis treatment in an amphibian model system. Philosophical Transactions of the Royal Society B: Biological Sciences. 2023 Jun 12;378(1882):20220126. doi:10.1098/rstb.2022.0126</w:t>
      </w:r>
    </w:p>
    <w:p w14:paraId="33C5285D" w14:textId="77777777" w:rsidR="00B449D3" w:rsidRPr="00B449D3" w:rsidRDefault="00B449D3" w:rsidP="00B449D3">
      <w:pPr>
        <w:pStyle w:val="Bibliography"/>
      </w:pPr>
      <w:r w:rsidRPr="00B449D3">
        <w:t>26.</w:t>
      </w:r>
      <w:r w:rsidRPr="00B449D3">
        <w:tab/>
        <w:t>Savage AE, Zamudio KR. MHC genotypes associate with resistance to a frog-killing fungus. Proceedings of the National Academy of Sciences of the United States of America. 2011 Oct 4;108(40):16705–10. doi:10.1073/pnas.1106893108 PubMed PMID: 21949385.</w:t>
      </w:r>
    </w:p>
    <w:p w14:paraId="2DAA4663" w14:textId="77777777" w:rsidR="00B449D3" w:rsidRPr="00B449D3" w:rsidRDefault="00B449D3" w:rsidP="00B449D3">
      <w:pPr>
        <w:pStyle w:val="Bibliography"/>
      </w:pPr>
      <w:r w:rsidRPr="00B449D3">
        <w:t>27.</w:t>
      </w:r>
      <w:r w:rsidRPr="00B449D3">
        <w:tab/>
        <w:t xml:space="preserve">Bataille A, Cashins SD, Grogan L, Skerratt LF, Hunter D, McFadden M, et al. Susceptibility of amphibians to chytridiomycosis is associated with MHC class II conformation. Proceedings of the </w:t>
      </w:r>
      <w:r w:rsidRPr="00B449D3">
        <w:lastRenderedPageBreak/>
        <w:t>Royal Society B: Biological Sciences. 2015;282(1805):20143127–20143127. doi:10.1098/rspb.2014.3127 PubMed PMID: 25808889.</w:t>
      </w:r>
    </w:p>
    <w:p w14:paraId="785B0C31" w14:textId="77777777" w:rsidR="00B449D3" w:rsidRPr="00B449D3" w:rsidRDefault="00B449D3" w:rsidP="00B449D3">
      <w:pPr>
        <w:pStyle w:val="Bibliography"/>
      </w:pPr>
      <w:r w:rsidRPr="00B449D3">
        <w:t>28.</w:t>
      </w:r>
      <w:r w:rsidRPr="00B449D3">
        <w:tab/>
        <w:t>Savage AE, Gratwicke B, Hope K, Fleischer RC. Sustained immune activation is associated with susceptibility to the amphibian chytrid fungus. Molecular Ecology. 2020 Aug 1;29(15):2889–903. doi:10.1111/mec.15533 PubMed PMID: 32700351.</w:t>
      </w:r>
    </w:p>
    <w:p w14:paraId="57EFB7E6" w14:textId="77777777" w:rsidR="00B449D3" w:rsidRPr="00B449D3" w:rsidRDefault="00B449D3" w:rsidP="00B449D3">
      <w:pPr>
        <w:pStyle w:val="Bibliography"/>
      </w:pPr>
      <w:r w:rsidRPr="00B449D3">
        <w:t>29.</w:t>
      </w:r>
      <w:r w:rsidRPr="00B449D3">
        <w:tab/>
        <w:t xml:space="preserve">Eskew EA, Shock BC, LaDouceur EEB, Keel K, Miller MR, Foley JE, et al. Gene expression differs in susceptible and resistant amphibians exposed to </w:t>
      </w:r>
      <w:r w:rsidRPr="00B449D3">
        <w:rPr>
          <w:i/>
          <w:iCs/>
        </w:rPr>
        <w:t>Batrachochytrium dendrobatidis</w:t>
      </w:r>
      <w:r w:rsidRPr="00B449D3">
        <w:t>. Royal Society Open Science. 2018 Feb 28;5(2):170910. doi:10.1098/rsos.170910</w:t>
      </w:r>
    </w:p>
    <w:p w14:paraId="226ED563" w14:textId="77777777" w:rsidR="00B449D3" w:rsidRPr="00B449D3" w:rsidRDefault="00B449D3" w:rsidP="00B449D3">
      <w:pPr>
        <w:pStyle w:val="Bibliography"/>
      </w:pPr>
      <w:r w:rsidRPr="00B449D3">
        <w:t>30.</w:t>
      </w:r>
      <w:r w:rsidRPr="00B449D3">
        <w:tab/>
        <w:t>Baitchman EJ, Pessier A. Pathogenesis, diagnosis and treatment of amphibian chytridiomycosis. Vet Clin Exot Anim. 2013;16:669–85. doi:10.1016/j.cvex.2013.05.009</w:t>
      </w:r>
    </w:p>
    <w:p w14:paraId="10FD00D9" w14:textId="77777777" w:rsidR="00B449D3" w:rsidRPr="00B449D3" w:rsidRDefault="00B449D3" w:rsidP="00B449D3">
      <w:pPr>
        <w:pStyle w:val="Bibliography"/>
      </w:pPr>
      <w:r w:rsidRPr="00B449D3">
        <w:t>31.</w:t>
      </w:r>
      <w:r w:rsidRPr="00B449D3">
        <w:tab/>
        <w:t>Hyatt AD, Boyle DG, Olsen V, Boyle DB, Berger L, Obendorf D, et al. Diagnostic assays and sampling protocols for the detection of Batrachochytrium dendrobatidis. Diseases of Aquatic Organisms. 2007;73:175–92.</w:t>
      </w:r>
    </w:p>
    <w:p w14:paraId="55163C0E" w14:textId="77777777" w:rsidR="00B449D3" w:rsidRPr="00B449D3" w:rsidRDefault="00B449D3" w:rsidP="00B449D3">
      <w:pPr>
        <w:pStyle w:val="Bibliography"/>
      </w:pPr>
      <w:r w:rsidRPr="00B449D3">
        <w:t>32.</w:t>
      </w:r>
      <w:r w:rsidRPr="00B449D3">
        <w:tab/>
        <w:t>Boyle DG, Boyle DB, Olsen V, Morgan JT, Hyatt AD. Rapid quantitative detection of chytridiomycosis (</w:t>
      </w:r>
      <w:r w:rsidRPr="00B449D3">
        <w:rPr>
          <w:i/>
          <w:iCs/>
        </w:rPr>
        <w:t>Batrachochytrium dendrobatidis</w:t>
      </w:r>
      <w:r w:rsidRPr="00B449D3">
        <w:t>) in amphibian samples using real-time Taqman PCR assay. Diseases of aquatic organisms. 2004;60(2):141–8. doi:10.3354/dao060141 PubMed PMID: 15460858.</w:t>
      </w:r>
    </w:p>
    <w:p w14:paraId="510AB9E7" w14:textId="77777777" w:rsidR="00B449D3" w:rsidRPr="00B449D3" w:rsidRDefault="00B449D3" w:rsidP="00B449D3">
      <w:pPr>
        <w:pStyle w:val="Bibliography"/>
      </w:pPr>
      <w:r w:rsidRPr="00B449D3">
        <w:t>33.</w:t>
      </w:r>
      <w:r w:rsidRPr="00B449D3">
        <w:tab/>
        <w:t>Kriger KM, Hines HB, Hyatt AD, Boyle DG, Hero JM. Techniques for detecting chytridiomycosis in wild frogs: Comparing histology with real-time Taqman PCR. Diseases of Aquatic Organisms. 2006;71(2):141–8. doi:10.3354/dao071141 PubMed PMID: 16956061.</w:t>
      </w:r>
    </w:p>
    <w:p w14:paraId="238AC470" w14:textId="77777777" w:rsidR="00B449D3" w:rsidRPr="00B449D3" w:rsidRDefault="00B449D3" w:rsidP="00B449D3">
      <w:pPr>
        <w:pStyle w:val="Bibliography"/>
      </w:pPr>
      <w:r w:rsidRPr="00B449D3">
        <w:t>34.</w:t>
      </w:r>
      <w:r w:rsidRPr="00B449D3">
        <w:tab/>
        <w:t>Therneau TM, Lumley T. Survival Analysis [Internet]. 2019 [cited 2020 Mar 13]. p. https://github.com/therneau/survival. R: Survival Analysis 3.1-8. Available from: https://stat.ethz.ch/R-manual/R-patched/library/survival/html/00Index.html</w:t>
      </w:r>
    </w:p>
    <w:p w14:paraId="1D9EB749" w14:textId="77777777" w:rsidR="00B449D3" w:rsidRPr="00B449D3" w:rsidRDefault="00B449D3" w:rsidP="00B449D3">
      <w:pPr>
        <w:pStyle w:val="Bibliography"/>
      </w:pPr>
      <w:r w:rsidRPr="00B449D3">
        <w:t>35.</w:t>
      </w:r>
      <w:r w:rsidRPr="00B449D3">
        <w:tab/>
        <w:t>R Core Team. R: A Language and Environment for Statistical Computing [Internet]. Vienna, Austria: R Foundation for Statistical Computing; 2021. Available from: https://www.R-project.org/</w:t>
      </w:r>
    </w:p>
    <w:p w14:paraId="6CEA20A4" w14:textId="77777777" w:rsidR="00B449D3" w:rsidRPr="00B449D3" w:rsidRDefault="00B449D3" w:rsidP="00B449D3">
      <w:pPr>
        <w:pStyle w:val="Bibliography"/>
      </w:pPr>
      <w:r w:rsidRPr="00B449D3">
        <w:t>36.</w:t>
      </w:r>
      <w:r w:rsidRPr="00B449D3">
        <w:tab/>
        <w:t>Mölder F, Jablonski KP, Letcher B, Hall MB, Tomkins-Tinch CH, Sochat V, et al. Sustainable data analysis with Snakemake. F1000Res. 2021 Jan 18;10:33. doi:10.12688/f1000research.29032.1</w:t>
      </w:r>
    </w:p>
    <w:p w14:paraId="6CF32B76" w14:textId="77777777" w:rsidR="00B449D3" w:rsidRPr="00B449D3" w:rsidRDefault="00B449D3" w:rsidP="00B449D3">
      <w:pPr>
        <w:pStyle w:val="Bibliography"/>
      </w:pPr>
      <w:r w:rsidRPr="00B449D3">
        <w:t>37.</w:t>
      </w:r>
      <w:r w:rsidRPr="00B449D3">
        <w:tab/>
        <w:t>Chen S, Zhou Y, Chen Y, Gu J. fastp: an ultra-fast all-in-one FASTQ preprocessor. Bioinformatics. 2018 Sep 1;34(17):i884–90. doi:10.1093/bioinformatics/bty560</w:t>
      </w:r>
    </w:p>
    <w:p w14:paraId="47D73FAF" w14:textId="77777777" w:rsidR="00B449D3" w:rsidRPr="00B449D3" w:rsidRDefault="00B449D3" w:rsidP="00B449D3">
      <w:pPr>
        <w:pStyle w:val="Bibliography"/>
      </w:pPr>
      <w:r w:rsidRPr="00B449D3">
        <w:t>38.</w:t>
      </w:r>
      <w:r w:rsidRPr="00B449D3">
        <w:tab/>
        <w:t>Bushnell B, Rood J, Singer E. BBMerge – Accurate paired shotgun read merging via overlap. Biggs PJ, editor. PLoS ONE. 2017 Oct 26;12(10):e0185056. doi:10.1371/journal.pone.0185056</w:t>
      </w:r>
    </w:p>
    <w:p w14:paraId="27B2F31E" w14:textId="77777777" w:rsidR="00B449D3" w:rsidRPr="00B449D3" w:rsidRDefault="00B449D3" w:rsidP="00B449D3">
      <w:pPr>
        <w:pStyle w:val="Bibliography"/>
      </w:pPr>
      <w:r w:rsidRPr="00B449D3">
        <w:t>39.</w:t>
      </w:r>
      <w:r w:rsidRPr="00B449D3">
        <w:tab/>
        <w:t>Kopylova E, Noé L, Touzet H. SortMeRNA: fast and accurate filtering of ribosomal RNAs in metatranscriptomic data. Bioinformatics. 2012 Dec 1;28(24):3211–7. doi:10.1093/bioinformatics/bts611</w:t>
      </w:r>
    </w:p>
    <w:p w14:paraId="172597DF" w14:textId="77777777" w:rsidR="00B449D3" w:rsidRPr="00B449D3" w:rsidRDefault="00B449D3" w:rsidP="00B449D3">
      <w:pPr>
        <w:pStyle w:val="Bibliography"/>
      </w:pPr>
      <w:r w:rsidRPr="00B449D3">
        <w:lastRenderedPageBreak/>
        <w:t>40.</w:t>
      </w:r>
      <w:r w:rsidRPr="00B449D3">
        <w:tab/>
        <w:t>Grabherr MG, Haas BJ, Yassour M, Levin JZ, Thompson DA, Amit I, et al. Full-length transcriptome assembly from RNA-Seq data without a reference genome. Nat Biotechnol. 2011 Jul;29(7):644–52. doi:10.1038/nbt.1883</w:t>
      </w:r>
    </w:p>
    <w:p w14:paraId="184014EA" w14:textId="77777777" w:rsidR="00B449D3" w:rsidRPr="00B449D3" w:rsidRDefault="00B449D3" w:rsidP="00B449D3">
      <w:pPr>
        <w:pStyle w:val="Bibliography"/>
      </w:pPr>
      <w:r w:rsidRPr="00B449D3">
        <w:t>41.</w:t>
      </w:r>
      <w:r w:rsidRPr="00B449D3">
        <w:tab/>
        <w:t>Smith-Unna R, Boursnell C, Patro R, Hibberd JM, Kelly S. TransRate: reference-free quality assessment of de novo transcriptome assemblies. Genome Res. 2016 Aug;26(8):1134–44. doi:10.1101/gr.196469.115</w:t>
      </w:r>
    </w:p>
    <w:p w14:paraId="6D6F12BF" w14:textId="77777777" w:rsidR="00B449D3" w:rsidRPr="00B449D3" w:rsidRDefault="00B449D3" w:rsidP="00B449D3">
      <w:pPr>
        <w:pStyle w:val="Bibliography"/>
      </w:pPr>
      <w:r w:rsidRPr="00B449D3">
        <w:t>42.</w:t>
      </w:r>
      <w:r w:rsidRPr="00B449D3">
        <w:tab/>
        <w:t>Simão FA, Waterhouse RM, Ioannidis P, Kriventseva EV, Zdobnov EM. BUSCO: assessing genome assembly and annotation completeness with single-copy orthologs. Bioinformatics. 2015 Oct 1;31(19):3210–2. doi:10.1093/bioinformatics/btv351</w:t>
      </w:r>
    </w:p>
    <w:p w14:paraId="592F1D00" w14:textId="77777777" w:rsidR="00B449D3" w:rsidRPr="00B449D3" w:rsidRDefault="00B449D3" w:rsidP="00B449D3">
      <w:pPr>
        <w:pStyle w:val="Bibliography"/>
      </w:pPr>
      <w:r w:rsidRPr="00B449D3">
        <w:t>43.</w:t>
      </w:r>
      <w:r w:rsidRPr="00B449D3">
        <w:tab/>
        <w:t>Patro R, Duggal G, Love MI, Irizarry RA, Kingsford C. Salmon provides fast and bias-aware quantification of transcript expression. Nat Methods. 2017 Apr;14(4):417–9. doi:10.1038/nmeth.4197</w:t>
      </w:r>
    </w:p>
    <w:p w14:paraId="7F786D53" w14:textId="77777777" w:rsidR="00B449D3" w:rsidRPr="00B449D3" w:rsidRDefault="00B449D3" w:rsidP="00B449D3">
      <w:pPr>
        <w:pStyle w:val="Bibliography"/>
      </w:pPr>
      <w:r w:rsidRPr="00B449D3">
        <w:t>44.</w:t>
      </w:r>
      <w:r w:rsidRPr="00B449D3">
        <w:tab/>
        <w:t>Soneson C, Love MI, Robinson MD. Differential analyses for RNA-seq: transcript-level estimates improve gene-level inferences. F1000Res. 2015 Dec 30;4:1521. doi:10.12688/f1000research.7563.1</w:t>
      </w:r>
    </w:p>
    <w:p w14:paraId="4A0711AC" w14:textId="77777777" w:rsidR="00B449D3" w:rsidRPr="00B449D3" w:rsidRDefault="00B449D3" w:rsidP="00B449D3">
      <w:pPr>
        <w:pStyle w:val="Bibliography"/>
      </w:pPr>
      <w:r w:rsidRPr="00B449D3">
        <w:t>45.</w:t>
      </w:r>
      <w:r w:rsidRPr="00B449D3">
        <w:tab/>
        <w:t>Love MI, Huber W, Anders S. Moderated estimation of fold change and dispersion for RNA-seq data with DESeq2. Genome Biology. 2014 Dec 5;15(12):550. doi:10.1186/s13059-014-0550-8</w:t>
      </w:r>
    </w:p>
    <w:p w14:paraId="0C3DCB61" w14:textId="77777777" w:rsidR="00B449D3" w:rsidRPr="00B449D3" w:rsidRDefault="00B449D3" w:rsidP="00B449D3">
      <w:pPr>
        <w:pStyle w:val="Bibliography"/>
      </w:pPr>
      <w:r w:rsidRPr="00B449D3">
        <w:t>46.</w:t>
      </w:r>
      <w:r w:rsidRPr="00B449D3">
        <w:tab/>
        <w:t>Alexa A, Rahnenfuhrer J. Bioconductor [Internet]. 2024 [cited 2025 May 28]. topGO: Enrichment Analysis for Gene Ontology. 2.59.0. Available from: http://bioconductor.org/packages/topGO/</w:t>
      </w:r>
    </w:p>
    <w:p w14:paraId="39AFFE30" w14:textId="77777777" w:rsidR="00B449D3" w:rsidRPr="00B449D3" w:rsidRDefault="00B449D3" w:rsidP="00B449D3">
      <w:pPr>
        <w:pStyle w:val="Bibliography"/>
      </w:pPr>
      <w:r w:rsidRPr="00B449D3">
        <w:t>47.</w:t>
      </w:r>
      <w:r w:rsidRPr="00B449D3">
        <w:tab/>
        <w:t>Bornbusch SL, Shinnerl HE, Gentry L, Keady MM, Glick V, Muletz-Wolz CR, et al. Local environment shapes milk microbiomes while evolutionary history constrains milk macronutrients in captive cercopithecine primates. Environ Microbiol. 2024 Jun;26(6):e16664. doi:10.1111/1462-2920.16664 PubMed PMID: 38830671.</w:t>
      </w:r>
    </w:p>
    <w:p w14:paraId="2FB748E3" w14:textId="77777777" w:rsidR="00B449D3" w:rsidRPr="00B449D3" w:rsidRDefault="00B449D3" w:rsidP="00B449D3">
      <w:pPr>
        <w:pStyle w:val="Bibliography"/>
      </w:pPr>
      <w:r w:rsidRPr="00B449D3">
        <w:t>48.</w:t>
      </w:r>
      <w:r w:rsidRPr="00B449D3">
        <w:tab/>
        <w:t>Kutos S, Bennett RE, Rao MV, Fleischer RC, Rice RA, Muletz-Wolz CR. Farm management and shade tree species influence coffee soil microbiomes in Central and South America. Applied Soil Ecology. 2024 Oct;202:105571. doi:10.1016/j.apsoil.2024.105571</w:t>
      </w:r>
    </w:p>
    <w:p w14:paraId="2573F0F4" w14:textId="77777777" w:rsidR="00B449D3" w:rsidRPr="00B449D3" w:rsidRDefault="00B449D3" w:rsidP="00B449D3">
      <w:pPr>
        <w:pStyle w:val="Bibliography"/>
      </w:pPr>
      <w:r w:rsidRPr="00B449D3">
        <w:t>49.</w:t>
      </w:r>
      <w:r w:rsidRPr="00B449D3">
        <w:tab/>
        <w:t>Callahan BJ, McMurdie PJ, Rosen MJ, Han AW, Johnson AJA, Holmes SP. DADA2: High-resolution sample inference from Illumina amplicon data. Nature methods. 2016;13(7):581–3.</w:t>
      </w:r>
    </w:p>
    <w:p w14:paraId="6BEF74DD" w14:textId="77777777" w:rsidR="00B449D3" w:rsidRPr="00B449D3" w:rsidRDefault="00B449D3" w:rsidP="00B449D3">
      <w:pPr>
        <w:pStyle w:val="Bibliography"/>
      </w:pPr>
      <w:r w:rsidRPr="00B449D3">
        <w:t>50.</w:t>
      </w:r>
      <w:r w:rsidRPr="00B449D3">
        <w:tab/>
        <w:t>Martin M. Cutadapt removes adapter sequences from high-throughput sequencing reads. EMBnet.journal. 2011 May 2;17(1):1. doi:10.14806/ej.17.1.200</w:t>
      </w:r>
    </w:p>
    <w:p w14:paraId="5C633347" w14:textId="77777777" w:rsidR="00B449D3" w:rsidRPr="00B449D3" w:rsidRDefault="00B449D3" w:rsidP="00B449D3">
      <w:pPr>
        <w:pStyle w:val="Bibliography"/>
      </w:pPr>
      <w:r w:rsidRPr="00B449D3">
        <w:t>51.</w:t>
      </w:r>
      <w:r w:rsidRPr="00B449D3">
        <w:tab/>
        <w:t>Abarenkov K, Nilsson RH, Larsson KH, Taylor AFS, May TW, Frøslev TG, et al. The UNITE database for molecular identification and taxonomic communication of fungi and other eukaryotes: sequences, taxa and classifications reconsidered. Nucleic Acids Research. 2024 Jan 5;52(D1):D791–7. doi:10.1093/nar/gkad1039</w:t>
      </w:r>
    </w:p>
    <w:p w14:paraId="64B30155" w14:textId="77777777" w:rsidR="00B449D3" w:rsidRPr="00B449D3" w:rsidRDefault="00B449D3" w:rsidP="00B449D3">
      <w:pPr>
        <w:pStyle w:val="Bibliography"/>
      </w:pPr>
      <w:r w:rsidRPr="00B449D3">
        <w:t>52.</w:t>
      </w:r>
      <w:r w:rsidRPr="00B449D3">
        <w:tab/>
        <w:t>McMurdie PJ, Holmes S. phyloseq: an R package for reproducible interactive analysis and graphics of microbiome census data. PloS one. 2013;8(4):e61217.</w:t>
      </w:r>
    </w:p>
    <w:p w14:paraId="42471237" w14:textId="77777777" w:rsidR="00B449D3" w:rsidRPr="00B449D3" w:rsidRDefault="00B449D3" w:rsidP="00B449D3">
      <w:pPr>
        <w:pStyle w:val="Bibliography"/>
      </w:pPr>
      <w:r w:rsidRPr="00B449D3">
        <w:lastRenderedPageBreak/>
        <w:t>53.</w:t>
      </w:r>
      <w:r w:rsidRPr="00B449D3">
        <w:tab/>
        <w:t>Oksanen J, Blanchet FG, Kindt R, Legendre P, Minchin PR, O’hara R, et al. Package ‘vegan.’ Community ecology package, version. 2013;2(9):1–295.</w:t>
      </w:r>
    </w:p>
    <w:p w14:paraId="3B9296E1" w14:textId="77777777" w:rsidR="00B449D3" w:rsidRPr="00B449D3" w:rsidRDefault="00B449D3" w:rsidP="00B449D3">
      <w:pPr>
        <w:pStyle w:val="Bibliography"/>
      </w:pPr>
      <w:r w:rsidRPr="00B449D3">
        <w:t>54.</w:t>
      </w:r>
      <w:r w:rsidRPr="00B449D3">
        <w:tab/>
        <w:t>Ogle DH, Doll JC, Wheeler AP, Dinno A. FSA: Simple Fisheries Stock Assessment Methods [Internet]. 2023. Available from: https://CRAN.R-project.org/package=FSA</w:t>
      </w:r>
    </w:p>
    <w:p w14:paraId="01B319D9" w14:textId="77777777" w:rsidR="00B449D3" w:rsidRPr="00B449D3" w:rsidRDefault="00B449D3" w:rsidP="00B449D3">
      <w:pPr>
        <w:pStyle w:val="Bibliography"/>
      </w:pPr>
      <w:r w:rsidRPr="00B449D3">
        <w:t>55.</w:t>
      </w:r>
      <w:r w:rsidRPr="00B449D3">
        <w:tab/>
        <w:t>Bates D, Mächler M, Bolker B, Walker S. Fitting Linear Mixed-Effects Models Using lme4. Journal of Statistical Software. 2015;67(1):1–48. doi:10.18637/jss.v067.i01</w:t>
      </w:r>
    </w:p>
    <w:p w14:paraId="4EF340B8" w14:textId="77777777" w:rsidR="00B449D3" w:rsidRPr="00B449D3" w:rsidRDefault="00B449D3" w:rsidP="00B449D3">
      <w:pPr>
        <w:pStyle w:val="Bibliography"/>
      </w:pPr>
      <w:r w:rsidRPr="00B449D3">
        <w:t>56.</w:t>
      </w:r>
      <w:r w:rsidRPr="00B449D3">
        <w:tab/>
        <w:t xml:space="preserve">Lenth RV. Least-Squares Means: The </w:t>
      </w:r>
      <w:r w:rsidRPr="00B449D3">
        <w:rPr>
          <w:i/>
          <w:iCs/>
        </w:rPr>
        <w:t>R</w:t>
      </w:r>
      <w:r w:rsidRPr="00B449D3">
        <w:t xml:space="preserve"> Package </w:t>
      </w:r>
      <w:r w:rsidRPr="00B449D3">
        <w:rPr>
          <w:b/>
          <w:bCs/>
        </w:rPr>
        <w:t>lsmeans</w:t>
      </w:r>
      <w:r w:rsidRPr="00B449D3">
        <w:t>. J Stat Soft. 2016;69(1). doi:10.18637/jss.v069.i01</w:t>
      </w:r>
    </w:p>
    <w:p w14:paraId="6506B719" w14:textId="77777777" w:rsidR="00B449D3" w:rsidRPr="00B449D3" w:rsidRDefault="00B449D3" w:rsidP="00B449D3">
      <w:pPr>
        <w:pStyle w:val="Bibliography"/>
      </w:pPr>
      <w:r w:rsidRPr="00B449D3">
        <w:t>57.</w:t>
      </w:r>
      <w:r w:rsidRPr="00B449D3">
        <w:tab/>
        <w:t>Martinez Arbizu P. pairwiseAdonis: Pairwise multilevel comparison using adonis. R package version 04. 2020;1.</w:t>
      </w:r>
    </w:p>
    <w:p w14:paraId="4DAB2C46" w14:textId="77777777" w:rsidR="00B449D3" w:rsidRPr="00B449D3" w:rsidRDefault="00B449D3" w:rsidP="00B449D3">
      <w:pPr>
        <w:pStyle w:val="Bibliography"/>
      </w:pPr>
      <w:r w:rsidRPr="00B449D3">
        <w:t>58.</w:t>
      </w:r>
      <w:r w:rsidRPr="00B449D3">
        <w:tab/>
        <w:t>Boogaart KG van den, Tolosana-Delgado R, Bren M. compositions: Compositional Data Analysis [Internet]. 2025 [cited 2025 Nov 18]. Available from: https://cran.r-project.org/web/packages/compositions/index.html</w:t>
      </w:r>
    </w:p>
    <w:p w14:paraId="3ACE4C60" w14:textId="77777777" w:rsidR="00B449D3" w:rsidRPr="00B449D3" w:rsidRDefault="00B449D3" w:rsidP="00B449D3">
      <w:pPr>
        <w:pStyle w:val="Bibliography"/>
      </w:pPr>
      <w:r w:rsidRPr="00B449D3">
        <w:t>59.</w:t>
      </w:r>
      <w:r w:rsidRPr="00B449D3">
        <w:tab/>
        <w:t>Witten D, Tibshirani R, Gross S, Narasimhan B. PMA: Penalized Multivariate Analysis [Internet]. 2024 [cited 2025 Nov 18]. Available from: https://cran.r-project.org/web/packages/PMA/index.html</w:t>
      </w:r>
    </w:p>
    <w:p w14:paraId="1754DBA4" w14:textId="77777777" w:rsidR="00B449D3" w:rsidRPr="00B449D3" w:rsidRDefault="00B449D3" w:rsidP="00B449D3">
      <w:pPr>
        <w:pStyle w:val="Bibliography"/>
      </w:pPr>
      <w:r w:rsidRPr="00B449D3">
        <w:t>60.</w:t>
      </w:r>
      <w:r w:rsidRPr="00B449D3">
        <w:tab/>
        <w:t>Harrell Jr FE. Hmisc: Harrell Miscellaneous [Internet]. 2003 [cited 2025 Nov 18]. p. 5.2-4. Available from: https://CRAN.R-project.org/package=Hmisc doi:10.32614/CRAN.package.Hmisc</w:t>
      </w:r>
    </w:p>
    <w:p w14:paraId="2D7AD11C" w14:textId="77777777" w:rsidR="00B449D3" w:rsidRPr="00B449D3" w:rsidRDefault="00B449D3" w:rsidP="00B449D3">
      <w:pPr>
        <w:pStyle w:val="Bibliography"/>
      </w:pPr>
      <w:r w:rsidRPr="00B449D3">
        <w:t>61.</w:t>
      </w:r>
      <w:r w:rsidRPr="00B449D3">
        <w:tab/>
        <w:t>Gephi - The Open Graph Viz Platform [Internet]. [cited 2025 Nov 18]. Available from: https://gephi.org/desktop/</w:t>
      </w:r>
    </w:p>
    <w:p w14:paraId="5BB4F14B" w14:textId="77777777" w:rsidR="00B449D3" w:rsidRPr="00B449D3" w:rsidRDefault="00B449D3" w:rsidP="00B449D3">
      <w:pPr>
        <w:pStyle w:val="Bibliography"/>
      </w:pPr>
      <w:r w:rsidRPr="00B449D3">
        <w:t>62.</w:t>
      </w:r>
      <w:r w:rsidRPr="00B449D3">
        <w:tab/>
        <w:t>Fang M, Yu H, Hutson A. PermCor: Robust Permutation Tests of Correlation Coefficients [Internet]. 2024 [cited 2025 Nov 18]. Available from: https://cran.r-project.org/web/packages/PermCor/index.html</w:t>
      </w:r>
    </w:p>
    <w:p w14:paraId="4799A715" w14:textId="77777777" w:rsidR="00B449D3" w:rsidRPr="00B449D3" w:rsidRDefault="00B449D3" w:rsidP="00B449D3">
      <w:pPr>
        <w:pStyle w:val="Bibliography"/>
      </w:pPr>
      <w:r w:rsidRPr="00B449D3">
        <w:t>63.</w:t>
      </w:r>
      <w:r w:rsidRPr="00B449D3">
        <w:tab/>
        <w:t>Diedenhofen B. cocor: Comparing Correlations [Internet]. 2022 [cited 2025 Nov 18]. Available from: https://cran.r-project.org/web/packages/cocor/index.html</w:t>
      </w:r>
    </w:p>
    <w:p w14:paraId="6CABAC7D" w14:textId="77777777" w:rsidR="00B449D3" w:rsidRPr="00B449D3" w:rsidRDefault="00B449D3" w:rsidP="00B449D3">
      <w:pPr>
        <w:pStyle w:val="Bibliography"/>
      </w:pPr>
      <w:r w:rsidRPr="00B449D3">
        <w:t>64.</w:t>
      </w:r>
      <w:r w:rsidRPr="00B449D3">
        <w:tab/>
        <w:t>Bates KA, Sommer U, Hopkins KP, Shelton JMG, Wierzbicki C, Sergeant C, et al. Microbiome function predicts amphibian chytridiomycosis disease dynamics. Microbiome. 2022 Mar 10;10(1):44. doi:10.1186/s40168-021-01215-6</w:t>
      </w:r>
    </w:p>
    <w:p w14:paraId="11052BC7" w14:textId="77777777" w:rsidR="00B449D3" w:rsidRPr="00B449D3" w:rsidRDefault="00B449D3" w:rsidP="00B449D3">
      <w:pPr>
        <w:pStyle w:val="Bibliography"/>
      </w:pPr>
      <w:r w:rsidRPr="00B449D3">
        <w:t>65.</w:t>
      </w:r>
      <w:r w:rsidRPr="00B449D3">
        <w:tab/>
        <w:t>Fernández-Ruiz I. CD200 is an atheroprotective immune checkpoint. Nat Rev Cardiol. 2021 Jul;18(7):461–461. doi:10.1038/s41569-021-00578-5</w:t>
      </w:r>
    </w:p>
    <w:p w14:paraId="0E6D2838" w14:textId="77777777" w:rsidR="00B449D3" w:rsidRPr="00B449D3" w:rsidRDefault="00B449D3" w:rsidP="00B449D3">
      <w:pPr>
        <w:pStyle w:val="Bibliography"/>
      </w:pPr>
      <w:r w:rsidRPr="00B449D3">
        <w:t>66.</w:t>
      </w:r>
      <w:r w:rsidRPr="00B449D3">
        <w:tab/>
        <w:t>Arad T, Fainstein N, Goldfarb S, Lachish M, Ganz T, Ben-Hur T. CD200 -dependent and -independent immune-modulatory functions of neural stem cells. Stem Cell Res. 2021 Oct;56:102559. doi:10.1016/j.scr.2021.102559 PubMed PMID: 34634761.</w:t>
      </w:r>
    </w:p>
    <w:p w14:paraId="0CACA54B" w14:textId="77777777" w:rsidR="00B449D3" w:rsidRPr="00B449D3" w:rsidRDefault="00B449D3" w:rsidP="00B449D3">
      <w:pPr>
        <w:pStyle w:val="Bibliography"/>
      </w:pPr>
      <w:r w:rsidRPr="00B449D3">
        <w:t>67.</w:t>
      </w:r>
      <w:r w:rsidRPr="00B449D3">
        <w:tab/>
        <w:t>Sui Y, Zeng W. MS4A4A Regulates Arginase 1 Induction during Macrophage Polarization and Lung Inflammation in Mice. European Journal of Immunology. 2020;50(10):1602–5. doi:10.1002/eji.202048585</w:t>
      </w:r>
    </w:p>
    <w:p w14:paraId="564DE385" w14:textId="77777777" w:rsidR="00B449D3" w:rsidRPr="00B449D3" w:rsidRDefault="00B449D3" w:rsidP="00B449D3">
      <w:pPr>
        <w:pStyle w:val="Bibliography"/>
      </w:pPr>
      <w:r w:rsidRPr="00B449D3">
        <w:lastRenderedPageBreak/>
        <w:t>68.</w:t>
      </w:r>
      <w:r w:rsidRPr="00B449D3">
        <w:tab/>
        <w:t>Mattiola I, Tomay F, De Pizzol M, Silva-Gomes R, Savino B, Gulic T, et al. The macrophage tetraspan MS4A4A enhances dectin-1-dependent NK cell–mediated resistance to metastasis. Nat Immunol. 2019 Aug;20(8):1012–22. doi:10.1038/s41590-019-0417-y</w:t>
      </w:r>
    </w:p>
    <w:p w14:paraId="051E44C7" w14:textId="77777777" w:rsidR="00B449D3" w:rsidRPr="00B449D3" w:rsidRDefault="00B449D3" w:rsidP="00B449D3">
      <w:pPr>
        <w:pStyle w:val="Bibliography"/>
      </w:pPr>
      <w:r w:rsidRPr="00B449D3">
        <w:t>69.</w:t>
      </w:r>
      <w:r w:rsidRPr="00B449D3">
        <w:tab/>
        <w:t>Ouyang W, Rutz S, Crellin NK, Valdez PA, Hymowitz SG. Regulation and Functions of the IL-10 Family of Cytokines in Inflammation and Disease. Annual Review of Immunology. 2011 Apr 23;29(Volume 29, 2011):71–109. doi:10.1146/annurev-immunol-031210-101312</w:t>
      </w:r>
    </w:p>
    <w:p w14:paraId="75414980" w14:textId="77777777" w:rsidR="00B449D3" w:rsidRPr="00B449D3" w:rsidRDefault="00B449D3" w:rsidP="00B449D3">
      <w:pPr>
        <w:pStyle w:val="Bibliography"/>
      </w:pPr>
      <w:r w:rsidRPr="00B449D3">
        <w:t>70.</w:t>
      </w:r>
      <w:r w:rsidRPr="00B449D3">
        <w:tab/>
        <w:t>Liu S, Li J, Zhang Y, Wang C, Zhang L. IL-10: the master immunomodulatory cytokine in allergen immunotherapy. Expert Rev Clin Immunol. 2025 Jan;21(1):17–28. doi:10.1080/1744666X.2024.2406894 PubMed PMID: 39323099.</w:t>
      </w:r>
    </w:p>
    <w:p w14:paraId="64ADB114" w14:textId="77777777" w:rsidR="00B449D3" w:rsidRPr="00B449D3" w:rsidRDefault="00B449D3" w:rsidP="00B449D3">
      <w:pPr>
        <w:pStyle w:val="Bibliography"/>
      </w:pPr>
      <w:r w:rsidRPr="00B449D3">
        <w:t>71.</w:t>
      </w:r>
      <w:r w:rsidRPr="00B449D3">
        <w:tab/>
        <w:t>Chen J, Ma Y, Yang Z, Lan H, Liu G, Zhang Y, et al. TNFAIP3 ameliorates the degeneration of inflammatory human nucleus pulposus cells by inhibiting mTOR signaling and promoting autophagy. Aging. 2020 Nov 20;12(23):24242–54. doi:10.18632/aging.104160 PubMed PMID: 33226960.</w:t>
      </w:r>
    </w:p>
    <w:p w14:paraId="766F3696" w14:textId="77777777" w:rsidR="00B449D3" w:rsidRPr="00B449D3" w:rsidRDefault="00B449D3" w:rsidP="00B449D3">
      <w:pPr>
        <w:pStyle w:val="Bibliography"/>
      </w:pPr>
      <w:r w:rsidRPr="00B449D3">
        <w:t>72.</w:t>
      </w:r>
      <w:r w:rsidRPr="00B449D3">
        <w:tab/>
        <w:t>Ellison AR, Tunstall T, Direnzo GV, Hughey MC, Rebollar EA, Belden LK, et al. GBE More than Skin Deep : Functional Genomic Basis for Resistance to Amphibian Chytridiomycosis. Vol. 7. 2014;7(1):286–98. doi:10.1093/gbe/evu285</w:t>
      </w:r>
    </w:p>
    <w:p w14:paraId="238E0F08" w14:textId="77777777" w:rsidR="00B449D3" w:rsidRPr="00B449D3" w:rsidRDefault="00B449D3" w:rsidP="00B449D3">
      <w:pPr>
        <w:pStyle w:val="Bibliography"/>
      </w:pPr>
      <w:r w:rsidRPr="00B449D3">
        <w:t>73.</w:t>
      </w:r>
      <w:r w:rsidRPr="00B449D3">
        <w:tab/>
        <w:t xml:space="preserve">Rollins-Smith LA, Fites JS, Reinert LK, Shiakolas AR, Umile TP, Minbiole KPC. Immunomodulatory Metabolites Released by the Frog-Killing Fungus </w:t>
      </w:r>
      <w:r w:rsidRPr="00B449D3">
        <w:rPr>
          <w:i/>
          <w:iCs/>
        </w:rPr>
        <w:t>Batrachochytrium dendrobatidis</w:t>
      </w:r>
      <w:r w:rsidRPr="00B449D3">
        <w:t>. Infection and Immunity. 2015 Nov 10;83(12):4565–70. doi:10.1128/iai.00877-15</w:t>
      </w:r>
    </w:p>
    <w:p w14:paraId="1BE36705" w14:textId="77777777" w:rsidR="00B449D3" w:rsidRPr="00B449D3" w:rsidRDefault="00B449D3" w:rsidP="00B449D3">
      <w:pPr>
        <w:pStyle w:val="Bibliography"/>
      </w:pPr>
      <w:r w:rsidRPr="00B449D3">
        <w:t>74.</w:t>
      </w:r>
      <w:r w:rsidRPr="00B449D3">
        <w:tab/>
        <w:t>Fites JS, Ramsey JP, Holden WM, Collier SP, Sutherland DM, Reinert LK, et al. The Invasive Chytrid Fungus of Amphibians Paralyses Lymphocyte Responses. Science. 2013;342:366–9. doi:10.5061/dryad.878m3</w:t>
      </w:r>
    </w:p>
    <w:p w14:paraId="7DF3FEBC" w14:textId="77777777" w:rsidR="00B449D3" w:rsidRPr="00B449D3" w:rsidRDefault="00B449D3" w:rsidP="00B449D3">
      <w:pPr>
        <w:pStyle w:val="Bibliography"/>
      </w:pPr>
      <w:r w:rsidRPr="00B449D3">
        <w:t>75.</w:t>
      </w:r>
      <w:r w:rsidRPr="00B449D3">
        <w:tab/>
        <w:t>Yaparla A, Popovic M, Hauser KA, Rollins-Smith LA, Grayfer L. Amphibian (</w:t>
      </w:r>
      <w:r w:rsidRPr="00B449D3">
        <w:rPr>
          <w:i/>
          <w:iCs/>
        </w:rPr>
        <w:t>Xenopus laevis</w:t>
      </w:r>
      <w:r w:rsidRPr="00B449D3">
        <w:t xml:space="preserve"> Macrophage Subsets Vary in Their Responses to the Chytrid Fungus </w:t>
      </w:r>
      <w:r w:rsidRPr="00B449D3">
        <w:rPr>
          <w:i/>
          <w:iCs/>
        </w:rPr>
        <w:t>Batrachochytrium dendrobatidis</w:t>
      </w:r>
      <w:r w:rsidRPr="00B449D3">
        <w:t>. Journal of Fungi. 2025 Apr;11(4):4. doi:10.3390/jof11040311</w:t>
      </w:r>
    </w:p>
    <w:p w14:paraId="14805CEC" w14:textId="77777777" w:rsidR="00B449D3" w:rsidRPr="00B449D3" w:rsidRDefault="00B449D3" w:rsidP="00B449D3">
      <w:pPr>
        <w:pStyle w:val="Bibliography"/>
      </w:pPr>
      <w:r w:rsidRPr="00B449D3">
        <w:t>76.</w:t>
      </w:r>
      <w:r w:rsidRPr="00B449D3">
        <w:tab/>
        <w:t>Jani AJ, Bushell J, Arisdakessian CG, Belcaid M, Boiano DM, Brown C, et al. The amphibian microbiome exhibits poor resilience following pathogen-induced disturbance. ISME JOURNAL. 2021 Jun;15(6):1628–40. doi:10.1038/s41396-020-00875-w</w:t>
      </w:r>
    </w:p>
    <w:p w14:paraId="1B798F7F" w14:textId="77777777" w:rsidR="00B449D3" w:rsidRPr="00B449D3" w:rsidRDefault="00B449D3" w:rsidP="00B449D3">
      <w:pPr>
        <w:pStyle w:val="Bibliography"/>
      </w:pPr>
      <w:r w:rsidRPr="00B449D3">
        <w:t>77.</w:t>
      </w:r>
      <w:r w:rsidRPr="00B449D3">
        <w:tab/>
        <w:t xml:space="preserve">Rebollar EA, Hughey MC, Medina D, Harris RN, Ibáñez R, Belden LK. Skin bacterial diversity of Panamanian frogs is associated with host susceptibility and presence of </w:t>
      </w:r>
      <w:r w:rsidRPr="00B449D3">
        <w:rPr>
          <w:i/>
          <w:iCs/>
        </w:rPr>
        <w:t>Batrachochytrium dendrobatidis</w:t>
      </w:r>
      <w:r w:rsidRPr="00B449D3">
        <w:t>. ISME Journal. 2016;10(7):1672–95. doi:10.1038/ismej.2015.234</w:t>
      </w:r>
    </w:p>
    <w:p w14:paraId="2182B2BC" w14:textId="77777777" w:rsidR="00B449D3" w:rsidRPr="00B449D3" w:rsidRDefault="00B449D3" w:rsidP="00B449D3">
      <w:pPr>
        <w:pStyle w:val="Bibliography"/>
      </w:pPr>
      <w:r w:rsidRPr="00B449D3">
        <w:t>78.</w:t>
      </w:r>
      <w:r w:rsidRPr="00B449D3">
        <w:tab/>
        <w:t xml:space="preserve">Jani AJ, Briggs CJ. The pathogen </w:t>
      </w:r>
      <w:r w:rsidRPr="00B449D3">
        <w:rPr>
          <w:i/>
          <w:iCs/>
        </w:rPr>
        <w:t>Batrachochytrium dendrobatidis</w:t>
      </w:r>
      <w:r w:rsidRPr="00B449D3">
        <w:t xml:space="preserve"> disturbs the frog skin microbiome during a natural epidemic and experimental infection. Proceedings of the National Academy of Sciences of the United States of America. 2014 Nov 25;111(47):E5049–58. doi:10.1073/pnas.1412752111 PubMed PMID: 25385615.</w:t>
      </w:r>
    </w:p>
    <w:p w14:paraId="2E0FA798" w14:textId="77777777" w:rsidR="00B449D3" w:rsidRPr="00B449D3" w:rsidRDefault="00B449D3" w:rsidP="00B449D3">
      <w:pPr>
        <w:pStyle w:val="Bibliography"/>
      </w:pPr>
      <w:r w:rsidRPr="00B449D3">
        <w:t>79.</w:t>
      </w:r>
      <w:r w:rsidRPr="00B449D3">
        <w:tab/>
        <w:t>Muletz-Wolz CR, Fleischer RC, Lips KR. Fungal disease and temperature alter skin microbiome structure in an experimental salamander system. Mol Ecol. 2019 Jun;28(11):2917–31. doi:10.1111/mec.15122 PubMed PMID: 31066947.</w:t>
      </w:r>
    </w:p>
    <w:p w14:paraId="299D4F22" w14:textId="77777777" w:rsidR="00B449D3" w:rsidRPr="00B449D3" w:rsidRDefault="00B449D3" w:rsidP="00B449D3">
      <w:pPr>
        <w:pStyle w:val="Bibliography"/>
      </w:pPr>
      <w:r w:rsidRPr="00B449D3">
        <w:lastRenderedPageBreak/>
        <w:t>80.</w:t>
      </w:r>
      <w:r w:rsidRPr="00B449D3">
        <w:tab/>
        <w:t>Kueneman J, Bletz M, Becker M, Gratwicke B, Garcés OA, Hertz A, et al. Effects of captivity and rewilding on amphibian skin microbiomes. Biological Conservation. 2022 Jul;271:109576. doi:10.1016/J.BIOCON.2022.109576</w:t>
      </w:r>
    </w:p>
    <w:p w14:paraId="12F187D2" w14:textId="77777777" w:rsidR="00B449D3" w:rsidRPr="00B449D3" w:rsidRDefault="00B449D3" w:rsidP="00B449D3">
      <w:pPr>
        <w:pStyle w:val="Bibliography"/>
      </w:pPr>
      <w:r w:rsidRPr="00B449D3">
        <w:t>81.</w:t>
      </w:r>
      <w:r w:rsidRPr="00B449D3">
        <w:tab/>
        <w:t>Becker MH, Richards-Zawacki CL, Gratwicke B, Belden LK. The effect of captivity on the cutaneous bacterial community of the critically endangered Panamanian golden frog (</w:t>
      </w:r>
      <w:r w:rsidRPr="00B449D3">
        <w:rPr>
          <w:i/>
          <w:iCs/>
        </w:rPr>
        <w:t>Atelopus zeteki</w:t>
      </w:r>
      <w:r w:rsidRPr="00B449D3">
        <w:t>). Biological Conservation. 2014;176:199–206. doi:10.1016/j.biocon.2014.05.029</w:t>
      </w:r>
    </w:p>
    <w:p w14:paraId="56F44D2B" w14:textId="77777777" w:rsidR="00B449D3" w:rsidRPr="00B449D3" w:rsidRDefault="00B449D3" w:rsidP="00B449D3">
      <w:pPr>
        <w:pStyle w:val="Bibliography"/>
      </w:pPr>
      <w:r w:rsidRPr="00B449D3">
        <w:t>82.</w:t>
      </w:r>
      <w:r w:rsidRPr="00B449D3">
        <w:tab/>
        <w:t xml:space="preserve">Klocke B, Garcés O, Lassiter E, Guerrel J, Hertz A, Illueca E, et al. Release trial of captive-bred variable harlequin frogs </w:t>
      </w:r>
      <w:r w:rsidRPr="00B449D3">
        <w:rPr>
          <w:i/>
          <w:iCs/>
        </w:rPr>
        <w:t>Atelopus varius</w:t>
      </w:r>
      <w:r w:rsidRPr="00B449D3">
        <w:t xml:space="preserve"> shows that frogs disperse rapidly, are difficult to recapture and do not readily regain skin toxicity. Oryx. 2023 Dec 13;1–13. doi:10.1017/S0030605323001254</w:t>
      </w:r>
    </w:p>
    <w:p w14:paraId="75414834" w14:textId="77777777" w:rsidR="00B449D3" w:rsidRPr="00B449D3" w:rsidRDefault="00B449D3" w:rsidP="00B449D3">
      <w:pPr>
        <w:pStyle w:val="Bibliography"/>
      </w:pPr>
      <w:r w:rsidRPr="00B449D3">
        <w:t>83.</w:t>
      </w:r>
      <w:r w:rsidRPr="00B449D3">
        <w:tab/>
        <w:t xml:space="preserve">Madison JD, Osborne OG, Ellison A, Garvey Griffith CN, Gentry L, Gross H, et al. Probiotic colonization of </w:t>
      </w:r>
      <w:r w:rsidRPr="00B449D3">
        <w:rPr>
          <w:i/>
          <w:iCs/>
        </w:rPr>
        <w:t>Xenopus laevis</w:t>
      </w:r>
      <w:r w:rsidRPr="00B449D3">
        <w:t xml:space="preserve"> skin causes short-term changes in skin microbiomes and gene expression. Raffatellu M, editor. Infect Immun. 2025 May 13;93(5):e00569-24. doi:10.1128/iai.00569-24</w:t>
      </w:r>
    </w:p>
    <w:p w14:paraId="647BEE12" w14:textId="77777777" w:rsidR="00B449D3" w:rsidRPr="00B449D3" w:rsidRDefault="00B449D3" w:rsidP="00B449D3">
      <w:pPr>
        <w:pStyle w:val="Bibliography"/>
      </w:pPr>
      <w:r w:rsidRPr="00B449D3">
        <w:t>84.</w:t>
      </w:r>
      <w:r w:rsidRPr="00B449D3">
        <w:tab/>
        <w:t>Hauser KA, Garvey CN, Crow RS, Hossainey MR, Howard DT, Ranganathan N, et al. Amphibian mast cells serve as barriers to chytrid fungus infections. Kim BS, Rath S, editors. eLife. 2024 Jul 31;12:RP92168. doi:10.7554/eLife.92168</w:t>
      </w:r>
    </w:p>
    <w:p w14:paraId="01691A0F" w14:textId="77777777" w:rsidR="00B449D3" w:rsidRPr="00B449D3" w:rsidRDefault="00B449D3" w:rsidP="00B449D3">
      <w:pPr>
        <w:pStyle w:val="Bibliography"/>
      </w:pPr>
      <w:r w:rsidRPr="00B449D3">
        <w:t>85.</w:t>
      </w:r>
      <w:r w:rsidRPr="00B449D3">
        <w:tab/>
        <w:t>Epp Schmidt D, Maul JE, Yarwood SA. Quantitative Amplicon Sequencing Is Necessary to Identify Differential Taxa and Correlated Taxa Where Population Sizes Differ. Microb Ecol. 2023 Nov;86(4):2790–801. doi:10.1007/s00248-023-02273-z</w:t>
      </w:r>
    </w:p>
    <w:p w14:paraId="38196C0B" w14:textId="77777777" w:rsidR="00B449D3" w:rsidRPr="00B449D3" w:rsidRDefault="00B449D3" w:rsidP="00B449D3">
      <w:pPr>
        <w:pStyle w:val="Bibliography"/>
      </w:pPr>
      <w:r w:rsidRPr="00B449D3">
        <w:t>86.</w:t>
      </w:r>
      <w:r w:rsidRPr="00B449D3">
        <w:tab/>
        <w:t>Ghotbi M, Stajich JE, Dallas JW, Rurik AJ, Cummins C, Vargas-Gastélum L, et al. Absolute abundance unveils Basidiobolus as a cross-domain bridge indirectly bolstering gut microbiome homeostasis. ISME J. 2025 Jan 2;19(1):wraf150. doi:10.1093/ismejo/wraf150</w:t>
      </w:r>
    </w:p>
    <w:p w14:paraId="4252BD7C" w14:textId="77777777" w:rsidR="00B449D3" w:rsidRPr="00B449D3" w:rsidRDefault="00B449D3" w:rsidP="00B449D3">
      <w:pPr>
        <w:pStyle w:val="Bibliography"/>
      </w:pPr>
      <w:r w:rsidRPr="00B449D3">
        <w:t>87.</w:t>
      </w:r>
      <w:r w:rsidRPr="00B449D3">
        <w:tab/>
        <w:t>Campbell LJ, Hammond SA, Price SJ, Sharma MD, Garner TWJ, Birol I, et al. A novel approach to wildlife transcriptomics provides evidence of disease‐mediated differential expression and changes to the microbiome of amphibian populations. Molecular Ecology. 2018 Mar;27(6):1413–27. doi:10.1111/mec.14528</w:t>
      </w:r>
    </w:p>
    <w:p w14:paraId="7B3C1B08" w14:textId="77777777" w:rsidR="00B449D3" w:rsidRPr="00B449D3" w:rsidRDefault="00B449D3" w:rsidP="00B449D3">
      <w:pPr>
        <w:pStyle w:val="Bibliography"/>
      </w:pPr>
      <w:r w:rsidRPr="00B449D3">
        <w:t>88.</w:t>
      </w:r>
      <w:r w:rsidRPr="00B449D3">
        <w:tab/>
        <w:t>Küng D, Bigler L, Davis LR, Gratwicke B, Griffith E, Woodhams DC, et al. Stability of Microbiota Facilitated by Host Immune Regulation: Informing Probiotic Strategies to Manage Amphibian Disease. PLoS ONE. 2014;9(1):e87101. doi:10.1371/journal.pone.0087101 PubMed PMID: 24489847.</w:t>
      </w:r>
    </w:p>
    <w:p w14:paraId="4BE5EBB4" w14:textId="77777777" w:rsidR="00B449D3" w:rsidRPr="00B449D3" w:rsidRDefault="00B449D3" w:rsidP="00B449D3">
      <w:pPr>
        <w:pStyle w:val="Bibliography"/>
      </w:pPr>
      <w:r w:rsidRPr="00B449D3">
        <w:t>89.</w:t>
      </w:r>
      <w:r w:rsidRPr="00B449D3">
        <w:tab/>
        <w:t>Woodhams DC, Rollins-Smith LA, Reinert LK, Lam BA, Harris RN, Briggs CJ, et al. Probiotics Modulate a Novel Amphibian Skin Defense Peptide That Is Antifungal and Facilitates Growth of Antifungal Bacteria. Microbial Ecology. 2020 Jan 1;79(1):192–202. doi:10.1007/s00248-019-01385-9</w:t>
      </w:r>
    </w:p>
    <w:p w14:paraId="4E904483" w14:textId="77777777" w:rsidR="00B449D3" w:rsidRPr="00B449D3" w:rsidRDefault="00B449D3" w:rsidP="00B449D3">
      <w:pPr>
        <w:pStyle w:val="Bibliography"/>
      </w:pPr>
      <w:r w:rsidRPr="00B449D3">
        <w:t>90.</w:t>
      </w:r>
      <w:r w:rsidRPr="00B449D3">
        <w:tab/>
        <w:t>Osborne O, Jiménez R, Byrne A, Gratwicke B, Ellison A, Muletz-Wolz C. Phylosymbiosis drives the distribution of pathogen-protective bacteria in Appalachian salamanders [Internet]. 2024 [cited 2024 Apr 24]. Available from: https://www.researchsquare.com/article/rs-3773072/v1 doi:10.21203/rs.3.rs-3773072/v1</w:t>
      </w:r>
    </w:p>
    <w:p w14:paraId="0FA1338E" w14:textId="77777777" w:rsidR="00B449D3" w:rsidRPr="00B449D3" w:rsidRDefault="00B449D3" w:rsidP="00B449D3">
      <w:pPr>
        <w:pStyle w:val="Bibliography"/>
      </w:pPr>
      <w:r w:rsidRPr="00B449D3">
        <w:lastRenderedPageBreak/>
        <w:t>91.</w:t>
      </w:r>
      <w:r w:rsidRPr="00B449D3">
        <w:tab/>
        <w:t>Bates KA, Clare FC, O’Hanlon S, Bosch J, Brookes L, Hopkins K, et al. Amphibian chytridiomycosis outbreak dynamics are linked with host skin bacterial community structure. Nat Commun. 2018 Feb 15;9(1):693. doi:10.1038/s41467-018-02967-w</w:t>
      </w:r>
    </w:p>
    <w:p w14:paraId="36437985" w14:textId="77777777" w:rsidR="00B449D3" w:rsidRPr="00B449D3" w:rsidRDefault="00B449D3" w:rsidP="00B449D3">
      <w:pPr>
        <w:pStyle w:val="Bibliography"/>
      </w:pPr>
      <w:r w:rsidRPr="00B449D3">
        <w:t>92.</w:t>
      </w:r>
      <w:r w:rsidRPr="00B449D3">
        <w:tab/>
        <w:t>Jiménez RR, Thatcher P, Osborne OG, Gratwicke B, Muletz-Wolz CR. Microbial metacommunity ecology: using null models and networks to understand assembly in a salamander disease system. Ecosphere. (in review).</w:t>
      </w:r>
    </w:p>
    <w:p w14:paraId="5599C03A" w14:textId="77777777" w:rsidR="00B449D3" w:rsidRPr="00B449D3" w:rsidRDefault="00B449D3" w:rsidP="00B449D3">
      <w:pPr>
        <w:pStyle w:val="Bibliography"/>
      </w:pPr>
      <w:r w:rsidRPr="00B449D3">
        <w:t>93.</w:t>
      </w:r>
      <w:r w:rsidRPr="00B449D3">
        <w:tab/>
        <w:t xml:space="preserve">Martínez-Ugalde E, Ávila-Akerberg V, González Martínez TM, Rebollar EA. Gene functions of the </w:t>
      </w:r>
      <w:r w:rsidRPr="00B449D3">
        <w:rPr>
          <w:i/>
          <w:iCs/>
        </w:rPr>
        <w:t>Ambystoma altamirani</w:t>
      </w:r>
      <w:r w:rsidRPr="00B449D3">
        <w:t xml:space="preserve"> skin microbiome vary across space and time but potential antifungal genes are widespread and prevalent. Microbial Genomics. 2024 Jan 19;10(1). doi:10.1099/mgen.0.001181</w:t>
      </w:r>
    </w:p>
    <w:p w14:paraId="067053E8" w14:textId="77777777" w:rsidR="00B449D3" w:rsidRPr="00B449D3" w:rsidRDefault="00B449D3" w:rsidP="00B449D3">
      <w:pPr>
        <w:pStyle w:val="Bibliography"/>
      </w:pPr>
      <w:r w:rsidRPr="00B449D3">
        <w:t>94.</w:t>
      </w:r>
      <w:r w:rsidRPr="00B449D3">
        <w:tab/>
        <w:t>Bletz MC, Gratwicke B, Belasen AM, Catenazzi A, Duffus ALJ, Olson DH, et al. Infectious diseases: Advances and challenges in addressing emerging pathogens. In: Amphibian Conservation Action Plan. Gland: IUCN Species Survival Commission. (Occasional Paper; no. 57).</w:t>
      </w:r>
    </w:p>
    <w:p w14:paraId="1E4F8ECD" w14:textId="77777777" w:rsidR="00B449D3" w:rsidRPr="00B449D3" w:rsidRDefault="00B449D3" w:rsidP="00B449D3">
      <w:pPr>
        <w:pStyle w:val="Bibliography"/>
      </w:pPr>
      <w:r w:rsidRPr="00B449D3">
        <w:t>95.</w:t>
      </w:r>
      <w:r w:rsidRPr="00B449D3">
        <w:tab/>
        <w:t>McMahon TA, Sears BF, Venesky MD, Bessler SM, Brown JM, Deutsch K, et al. Amphibians acquire resistance to live and dead fungus overcoming fungal immunosuppression. Nature. 2014;511(7508):224–7. doi:10.1038/nature13491</w:t>
      </w:r>
    </w:p>
    <w:p w14:paraId="6D2605B1" w14:textId="77777777" w:rsidR="00B449D3" w:rsidRPr="00B449D3" w:rsidRDefault="00B449D3" w:rsidP="00B449D3">
      <w:pPr>
        <w:pStyle w:val="Bibliography"/>
      </w:pPr>
      <w:r w:rsidRPr="00B449D3">
        <w:t>96.</w:t>
      </w:r>
      <w:r w:rsidRPr="00B449D3">
        <w:tab/>
        <w:t>Kosch TA, Silva CNS, Brannelly LA, Roberts AA, Lau Q, Marantelli G, et al. Genetic potential for disease resistance in critically endangered amphibians decimated by chytridiomycosis. Anim Conserv. 2019 Jun;22(3):238–50. doi:10.1111/acv.12459</w:t>
      </w:r>
    </w:p>
    <w:p w14:paraId="66B5527B" w14:textId="77777777" w:rsidR="00B449D3" w:rsidRPr="00B449D3" w:rsidRDefault="00B449D3" w:rsidP="00B449D3">
      <w:pPr>
        <w:pStyle w:val="Bibliography"/>
      </w:pPr>
      <w:r w:rsidRPr="00B449D3">
        <w:t>97.</w:t>
      </w:r>
      <w:r w:rsidRPr="00B449D3">
        <w:tab/>
        <w:t>Kosch TA, Waddle AW, Cooper C, Zenger KR, Garrick DJ, Berger L, et al. Genetic approaches for increasing fitness in endangered species. Trends in ecology &amp; evolution. 2022;37(4):332–45. doi:10.1016/j.tree.2021.12.003</w:t>
      </w:r>
    </w:p>
    <w:p w14:paraId="552A2A33" w14:textId="77777777" w:rsidR="00B449D3" w:rsidRPr="00B449D3" w:rsidRDefault="00B449D3" w:rsidP="00B449D3">
      <w:pPr>
        <w:pStyle w:val="Bibliography"/>
      </w:pPr>
      <w:r w:rsidRPr="00B449D3">
        <w:t>98.</w:t>
      </w:r>
      <w:r w:rsidRPr="00B449D3">
        <w:tab/>
        <w:t>Voyles J, Woodhams DC, Saenz V, Byrne AQ, Perez R, Rios-Sotelo G, et al. Shifts in disease dynamics in a tropical amphibian assemblage are not due to pathogen attenuation. Science. 2018 Mar 30;359(6383):1517–9. doi:10.1126/science.aao4806 PubMed PMID: 29599242.</w:t>
      </w:r>
    </w:p>
    <w:p w14:paraId="7218C410" w14:textId="4DA1C77C" w:rsidR="00F443AB" w:rsidRPr="009862C5" w:rsidRDefault="00F443AB" w:rsidP="00B449D3">
      <w:pPr>
        <w:pStyle w:val="Bibliography"/>
        <w:rPr>
          <w:rFonts w:cstheme="minorHAnsi"/>
          <w:b/>
          <w:bCs/>
        </w:rPr>
      </w:pPr>
      <w:r>
        <w:rPr>
          <w:rFonts w:cstheme="minorHAnsi"/>
          <w:b/>
          <w:bCs/>
        </w:rPr>
        <w:fldChar w:fldCharType="end"/>
      </w:r>
    </w:p>
    <w:p w14:paraId="702A54BC" w14:textId="1EB1215B" w:rsidR="008752A4" w:rsidRPr="009862C5" w:rsidRDefault="008752A4" w:rsidP="00337BEE">
      <w:pPr>
        <w:pStyle w:val="EndNoteBibliography"/>
        <w:rPr>
          <w:rFonts w:asciiTheme="minorHAnsi" w:hAnsiTheme="minorHAnsi" w:cstheme="minorHAnsi"/>
          <w:b/>
          <w:bCs/>
          <w:sz w:val="22"/>
          <w:szCs w:val="22"/>
        </w:rPr>
      </w:pPr>
    </w:p>
    <w:sectPr w:rsidR="008752A4" w:rsidRPr="009862C5" w:rsidSect="005F581B">
      <w:footerReference w:type="even" r:id="rId20"/>
      <w:footerReference w:type="default" r:id="rId21"/>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A9F1C6" w14:textId="77777777" w:rsidR="006B3F87" w:rsidRDefault="006B3F87" w:rsidP="00C32DC4">
      <w:r>
        <w:separator/>
      </w:r>
    </w:p>
  </w:endnote>
  <w:endnote w:type="continuationSeparator" w:id="0">
    <w:p w14:paraId="64C1B7BD" w14:textId="77777777" w:rsidR="006B3F87" w:rsidRDefault="006B3F87" w:rsidP="00C32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Liberation Serif">
    <w:altName w:val="Times New Roman"/>
    <w:panose1 w:val="020B0604020202020204"/>
    <w:charset w:val="01"/>
    <w:family w:val="roman"/>
    <w:pitch w:val="variable"/>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28518536"/>
      <w:docPartObj>
        <w:docPartGallery w:val="Page Numbers (Bottom of Page)"/>
        <w:docPartUnique/>
      </w:docPartObj>
    </w:sdtPr>
    <w:sdtContent>
      <w:p w14:paraId="0A655F85" w14:textId="2FB790A5" w:rsidR="005E4ED8" w:rsidRDefault="005E4ED8" w:rsidP="00351C4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B0282EB" w14:textId="77777777" w:rsidR="005E4ED8" w:rsidRDefault="005E4ED8" w:rsidP="005E4ED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62500501"/>
      <w:docPartObj>
        <w:docPartGallery w:val="Page Numbers (Bottom of Page)"/>
        <w:docPartUnique/>
      </w:docPartObj>
    </w:sdtPr>
    <w:sdtContent>
      <w:p w14:paraId="72E5AB05" w14:textId="1A7CC9DF" w:rsidR="005E4ED8" w:rsidRDefault="005E4ED8" w:rsidP="00351C4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29</w:t>
        </w:r>
        <w:r>
          <w:rPr>
            <w:rStyle w:val="PageNumber"/>
          </w:rPr>
          <w:fldChar w:fldCharType="end"/>
        </w:r>
      </w:p>
    </w:sdtContent>
  </w:sdt>
  <w:p w14:paraId="59036926" w14:textId="77777777" w:rsidR="005E4ED8" w:rsidRDefault="005E4ED8" w:rsidP="005E4ED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BBCBE1" w14:textId="77777777" w:rsidR="006B3F87" w:rsidRDefault="006B3F87" w:rsidP="00C32DC4">
      <w:r>
        <w:separator/>
      </w:r>
    </w:p>
  </w:footnote>
  <w:footnote w:type="continuationSeparator" w:id="0">
    <w:p w14:paraId="63D938EF" w14:textId="77777777" w:rsidR="006B3F87" w:rsidRDefault="006B3F87" w:rsidP="00C32D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805BD7"/>
    <w:multiLevelType w:val="hybridMultilevel"/>
    <w:tmpl w:val="952E9DA4"/>
    <w:lvl w:ilvl="0" w:tplc="CA884B06">
      <w:start w:val="6"/>
      <w:numFmt w:val="decimal"/>
      <w:lvlText w:val="%1"/>
      <w:lvlJc w:val="left"/>
      <w:pPr>
        <w:ind w:left="720" w:hanging="360"/>
      </w:pPr>
      <w:rPr>
        <w:rFonts w:eastAsia="Times New Roman"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F91C1E"/>
    <w:multiLevelType w:val="multilevel"/>
    <w:tmpl w:val="D4401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CC7FB3"/>
    <w:multiLevelType w:val="multilevel"/>
    <w:tmpl w:val="949209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496434E"/>
    <w:multiLevelType w:val="hybridMultilevel"/>
    <w:tmpl w:val="6B7AB22E"/>
    <w:lvl w:ilvl="0" w:tplc="3C2E0200">
      <w:start w:val="1"/>
      <w:numFmt w:val="bullet"/>
      <w:lvlText w:val=""/>
      <w:lvlJc w:val="left"/>
      <w:pPr>
        <w:ind w:left="720" w:hanging="360"/>
      </w:pPr>
      <w:rPr>
        <w:rFonts w:ascii="Symbol" w:hAnsi="Symbol" w:hint="default"/>
      </w:rPr>
    </w:lvl>
    <w:lvl w:ilvl="1" w:tplc="34AAE8C2">
      <w:start w:val="1"/>
      <w:numFmt w:val="bullet"/>
      <w:lvlText w:val="o"/>
      <w:lvlJc w:val="left"/>
      <w:pPr>
        <w:ind w:left="1440" w:hanging="360"/>
      </w:pPr>
      <w:rPr>
        <w:rFonts w:ascii="Courier New" w:hAnsi="Courier New" w:hint="default"/>
      </w:rPr>
    </w:lvl>
    <w:lvl w:ilvl="2" w:tplc="031E141E">
      <w:start w:val="1"/>
      <w:numFmt w:val="bullet"/>
      <w:lvlText w:val=""/>
      <w:lvlJc w:val="left"/>
      <w:pPr>
        <w:ind w:left="2160" w:hanging="360"/>
      </w:pPr>
      <w:rPr>
        <w:rFonts w:ascii="Wingdings" w:hAnsi="Wingdings" w:hint="default"/>
      </w:rPr>
    </w:lvl>
    <w:lvl w:ilvl="3" w:tplc="14AECCC8">
      <w:start w:val="1"/>
      <w:numFmt w:val="bullet"/>
      <w:lvlText w:val=""/>
      <w:lvlJc w:val="left"/>
      <w:pPr>
        <w:ind w:left="2880" w:hanging="360"/>
      </w:pPr>
      <w:rPr>
        <w:rFonts w:ascii="Symbol" w:hAnsi="Symbol" w:hint="default"/>
      </w:rPr>
    </w:lvl>
    <w:lvl w:ilvl="4" w:tplc="A340604E">
      <w:start w:val="1"/>
      <w:numFmt w:val="bullet"/>
      <w:lvlText w:val="o"/>
      <w:lvlJc w:val="left"/>
      <w:pPr>
        <w:ind w:left="3600" w:hanging="360"/>
      </w:pPr>
      <w:rPr>
        <w:rFonts w:ascii="Courier New" w:hAnsi="Courier New" w:hint="default"/>
      </w:rPr>
    </w:lvl>
    <w:lvl w:ilvl="5" w:tplc="1D5A841E">
      <w:start w:val="1"/>
      <w:numFmt w:val="bullet"/>
      <w:lvlText w:val=""/>
      <w:lvlJc w:val="left"/>
      <w:pPr>
        <w:ind w:left="4320" w:hanging="360"/>
      </w:pPr>
      <w:rPr>
        <w:rFonts w:ascii="Wingdings" w:hAnsi="Wingdings" w:hint="default"/>
      </w:rPr>
    </w:lvl>
    <w:lvl w:ilvl="6" w:tplc="023AA64E">
      <w:start w:val="1"/>
      <w:numFmt w:val="bullet"/>
      <w:lvlText w:val=""/>
      <w:lvlJc w:val="left"/>
      <w:pPr>
        <w:ind w:left="5040" w:hanging="360"/>
      </w:pPr>
      <w:rPr>
        <w:rFonts w:ascii="Symbol" w:hAnsi="Symbol" w:hint="default"/>
      </w:rPr>
    </w:lvl>
    <w:lvl w:ilvl="7" w:tplc="A9CC6646">
      <w:start w:val="1"/>
      <w:numFmt w:val="bullet"/>
      <w:lvlText w:val="o"/>
      <w:lvlJc w:val="left"/>
      <w:pPr>
        <w:ind w:left="5760" w:hanging="360"/>
      </w:pPr>
      <w:rPr>
        <w:rFonts w:ascii="Courier New" w:hAnsi="Courier New" w:hint="default"/>
      </w:rPr>
    </w:lvl>
    <w:lvl w:ilvl="8" w:tplc="02889328">
      <w:start w:val="1"/>
      <w:numFmt w:val="bullet"/>
      <w:lvlText w:val=""/>
      <w:lvlJc w:val="left"/>
      <w:pPr>
        <w:ind w:left="6480" w:hanging="360"/>
      </w:pPr>
      <w:rPr>
        <w:rFonts w:ascii="Wingdings" w:hAnsi="Wingdings" w:hint="default"/>
      </w:rPr>
    </w:lvl>
  </w:abstractNum>
  <w:abstractNum w:abstractNumId="4" w15:restartNumberingAfterBreak="0">
    <w:nsid w:val="542D19CA"/>
    <w:multiLevelType w:val="multilevel"/>
    <w:tmpl w:val="162AC29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EA820C7"/>
    <w:multiLevelType w:val="hybridMultilevel"/>
    <w:tmpl w:val="690A3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AC786D"/>
    <w:multiLevelType w:val="hybridMultilevel"/>
    <w:tmpl w:val="75081C20"/>
    <w:lvl w:ilvl="0" w:tplc="75BA00E4">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FC50B4"/>
    <w:multiLevelType w:val="multilevel"/>
    <w:tmpl w:val="A862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03991086">
    <w:abstractNumId w:val="3"/>
  </w:num>
  <w:num w:numId="2" w16cid:durableId="366757730">
    <w:abstractNumId w:val="2"/>
  </w:num>
  <w:num w:numId="3" w16cid:durableId="236598480">
    <w:abstractNumId w:val="5"/>
  </w:num>
  <w:num w:numId="4" w16cid:durableId="283001543">
    <w:abstractNumId w:val="4"/>
  </w:num>
  <w:num w:numId="5" w16cid:durableId="193618689">
    <w:abstractNumId w:val="1"/>
  </w:num>
  <w:num w:numId="6" w16cid:durableId="823736121">
    <w:abstractNumId w:val="7"/>
  </w:num>
  <w:num w:numId="7" w16cid:durableId="1840198753">
    <w:abstractNumId w:val="6"/>
  </w:num>
  <w:num w:numId="8" w16cid:durableId="87099175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w9zxtzxvwzseae5wa2per5zwsxe5r9900w2&quot;&gt;My EndNote Library Copy&lt;record-ids&gt;&lt;item&gt;155&lt;/item&gt;&lt;item&gt;157&lt;/item&gt;&lt;item&gt;301&lt;/item&gt;&lt;item&gt;749&lt;/item&gt;&lt;/record-ids&gt;&lt;/item&gt;&lt;/Libraries&gt;"/>
  </w:docVars>
  <w:rsids>
    <w:rsidRoot w:val="00B629E3"/>
    <w:rsid w:val="00000BE9"/>
    <w:rsid w:val="00000C4B"/>
    <w:rsid w:val="0000242A"/>
    <w:rsid w:val="000034EF"/>
    <w:rsid w:val="0000561F"/>
    <w:rsid w:val="000079EA"/>
    <w:rsid w:val="00007B69"/>
    <w:rsid w:val="0001171B"/>
    <w:rsid w:val="00011D77"/>
    <w:rsid w:val="000121EC"/>
    <w:rsid w:val="000156F9"/>
    <w:rsid w:val="00017132"/>
    <w:rsid w:val="00017562"/>
    <w:rsid w:val="0002041B"/>
    <w:rsid w:val="00020A70"/>
    <w:rsid w:val="00021279"/>
    <w:rsid w:val="00021AF4"/>
    <w:rsid w:val="00021CF8"/>
    <w:rsid w:val="000224A1"/>
    <w:rsid w:val="000225CD"/>
    <w:rsid w:val="0002474F"/>
    <w:rsid w:val="00026DD5"/>
    <w:rsid w:val="000323E4"/>
    <w:rsid w:val="00035838"/>
    <w:rsid w:val="00037C52"/>
    <w:rsid w:val="00040397"/>
    <w:rsid w:val="00040976"/>
    <w:rsid w:val="0004161B"/>
    <w:rsid w:val="00041EB4"/>
    <w:rsid w:val="00041F95"/>
    <w:rsid w:val="000426CF"/>
    <w:rsid w:val="0004321E"/>
    <w:rsid w:val="00043E9C"/>
    <w:rsid w:val="00044E87"/>
    <w:rsid w:val="0004512B"/>
    <w:rsid w:val="00045243"/>
    <w:rsid w:val="000452F7"/>
    <w:rsid w:val="00046097"/>
    <w:rsid w:val="00046868"/>
    <w:rsid w:val="000469AF"/>
    <w:rsid w:val="000508C9"/>
    <w:rsid w:val="000519F0"/>
    <w:rsid w:val="00053E19"/>
    <w:rsid w:val="00054133"/>
    <w:rsid w:val="00054822"/>
    <w:rsid w:val="00055B3C"/>
    <w:rsid w:val="00055D0F"/>
    <w:rsid w:val="00056B12"/>
    <w:rsid w:val="00057DDD"/>
    <w:rsid w:val="000644B8"/>
    <w:rsid w:val="0006552C"/>
    <w:rsid w:val="00067096"/>
    <w:rsid w:val="0007008B"/>
    <w:rsid w:val="00071038"/>
    <w:rsid w:val="00071B8A"/>
    <w:rsid w:val="000731B9"/>
    <w:rsid w:val="00073630"/>
    <w:rsid w:val="0007464C"/>
    <w:rsid w:val="000750DB"/>
    <w:rsid w:val="000766F5"/>
    <w:rsid w:val="000815D9"/>
    <w:rsid w:val="000827A2"/>
    <w:rsid w:val="00083D0F"/>
    <w:rsid w:val="000851DD"/>
    <w:rsid w:val="000859C3"/>
    <w:rsid w:val="00085BAD"/>
    <w:rsid w:val="00087614"/>
    <w:rsid w:val="000903E7"/>
    <w:rsid w:val="00092E54"/>
    <w:rsid w:val="00093B85"/>
    <w:rsid w:val="0009419F"/>
    <w:rsid w:val="0009608E"/>
    <w:rsid w:val="000A3476"/>
    <w:rsid w:val="000A3ECA"/>
    <w:rsid w:val="000A5648"/>
    <w:rsid w:val="000A753E"/>
    <w:rsid w:val="000B0173"/>
    <w:rsid w:val="000B238B"/>
    <w:rsid w:val="000B2B00"/>
    <w:rsid w:val="000B2F76"/>
    <w:rsid w:val="000B648D"/>
    <w:rsid w:val="000C1055"/>
    <w:rsid w:val="000C1F30"/>
    <w:rsid w:val="000C2943"/>
    <w:rsid w:val="000C571B"/>
    <w:rsid w:val="000C5AB2"/>
    <w:rsid w:val="000C63A4"/>
    <w:rsid w:val="000C6E8E"/>
    <w:rsid w:val="000C78D8"/>
    <w:rsid w:val="000D029D"/>
    <w:rsid w:val="000D2368"/>
    <w:rsid w:val="000D31D2"/>
    <w:rsid w:val="000D3FBD"/>
    <w:rsid w:val="000D6A7B"/>
    <w:rsid w:val="000D75E1"/>
    <w:rsid w:val="000D787C"/>
    <w:rsid w:val="000D7FCE"/>
    <w:rsid w:val="000E1B87"/>
    <w:rsid w:val="000E2162"/>
    <w:rsid w:val="000E21DE"/>
    <w:rsid w:val="000E22B6"/>
    <w:rsid w:val="000E3C30"/>
    <w:rsid w:val="000E413A"/>
    <w:rsid w:val="000E4ACF"/>
    <w:rsid w:val="000E7C31"/>
    <w:rsid w:val="000F11A1"/>
    <w:rsid w:val="000F148A"/>
    <w:rsid w:val="000F166D"/>
    <w:rsid w:val="000F2621"/>
    <w:rsid w:val="000F5E8D"/>
    <w:rsid w:val="000F6073"/>
    <w:rsid w:val="000F66D4"/>
    <w:rsid w:val="000F717D"/>
    <w:rsid w:val="0010097A"/>
    <w:rsid w:val="0010114D"/>
    <w:rsid w:val="00102281"/>
    <w:rsid w:val="00102429"/>
    <w:rsid w:val="00102BDC"/>
    <w:rsid w:val="00103C88"/>
    <w:rsid w:val="00104738"/>
    <w:rsid w:val="001057CC"/>
    <w:rsid w:val="00105EAD"/>
    <w:rsid w:val="0010704E"/>
    <w:rsid w:val="00110349"/>
    <w:rsid w:val="00112911"/>
    <w:rsid w:val="00113895"/>
    <w:rsid w:val="001142EC"/>
    <w:rsid w:val="00114776"/>
    <w:rsid w:val="001160D0"/>
    <w:rsid w:val="00117394"/>
    <w:rsid w:val="00117E18"/>
    <w:rsid w:val="00124536"/>
    <w:rsid w:val="001265E1"/>
    <w:rsid w:val="00131550"/>
    <w:rsid w:val="001323F7"/>
    <w:rsid w:val="0013322D"/>
    <w:rsid w:val="001334D9"/>
    <w:rsid w:val="001335E5"/>
    <w:rsid w:val="00133743"/>
    <w:rsid w:val="00135E09"/>
    <w:rsid w:val="00135FED"/>
    <w:rsid w:val="00137579"/>
    <w:rsid w:val="001402E4"/>
    <w:rsid w:val="00141324"/>
    <w:rsid w:val="00141730"/>
    <w:rsid w:val="00142E95"/>
    <w:rsid w:val="00143812"/>
    <w:rsid w:val="00144EF3"/>
    <w:rsid w:val="00150038"/>
    <w:rsid w:val="001530A7"/>
    <w:rsid w:val="00154D82"/>
    <w:rsid w:val="00155814"/>
    <w:rsid w:val="001564DA"/>
    <w:rsid w:val="00160AAF"/>
    <w:rsid w:val="0016128E"/>
    <w:rsid w:val="00162124"/>
    <w:rsid w:val="001628DE"/>
    <w:rsid w:val="00163D9D"/>
    <w:rsid w:val="00165389"/>
    <w:rsid w:val="0016579E"/>
    <w:rsid w:val="00166C8C"/>
    <w:rsid w:val="00171735"/>
    <w:rsid w:val="00174881"/>
    <w:rsid w:val="00174F3F"/>
    <w:rsid w:val="00176088"/>
    <w:rsid w:val="00177417"/>
    <w:rsid w:val="00180694"/>
    <w:rsid w:val="0018132D"/>
    <w:rsid w:val="00181663"/>
    <w:rsid w:val="00181791"/>
    <w:rsid w:val="00184F55"/>
    <w:rsid w:val="0018505F"/>
    <w:rsid w:val="0019034F"/>
    <w:rsid w:val="0019071C"/>
    <w:rsid w:val="00191BA4"/>
    <w:rsid w:val="00192CB2"/>
    <w:rsid w:val="00193DCA"/>
    <w:rsid w:val="00196762"/>
    <w:rsid w:val="00196917"/>
    <w:rsid w:val="001978FA"/>
    <w:rsid w:val="001A15A5"/>
    <w:rsid w:val="001A2234"/>
    <w:rsid w:val="001A3589"/>
    <w:rsid w:val="001A438D"/>
    <w:rsid w:val="001A47EC"/>
    <w:rsid w:val="001A5E1C"/>
    <w:rsid w:val="001A5E97"/>
    <w:rsid w:val="001A6C33"/>
    <w:rsid w:val="001A7615"/>
    <w:rsid w:val="001A7C64"/>
    <w:rsid w:val="001A7F1F"/>
    <w:rsid w:val="001B0B93"/>
    <w:rsid w:val="001B57C0"/>
    <w:rsid w:val="001B726A"/>
    <w:rsid w:val="001B72BB"/>
    <w:rsid w:val="001B7C1C"/>
    <w:rsid w:val="001C0A31"/>
    <w:rsid w:val="001C1E89"/>
    <w:rsid w:val="001C26C0"/>
    <w:rsid w:val="001C2744"/>
    <w:rsid w:val="001C3992"/>
    <w:rsid w:val="001C498E"/>
    <w:rsid w:val="001C54A9"/>
    <w:rsid w:val="001C5DED"/>
    <w:rsid w:val="001C5E3B"/>
    <w:rsid w:val="001D092C"/>
    <w:rsid w:val="001D1161"/>
    <w:rsid w:val="001D1850"/>
    <w:rsid w:val="001D22AF"/>
    <w:rsid w:val="001D33A3"/>
    <w:rsid w:val="001D3EA1"/>
    <w:rsid w:val="001D5B27"/>
    <w:rsid w:val="001E087E"/>
    <w:rsid w:val="001E173A"/>
    <w:rsid w:val="001E1FE9"/>
    <w:rsid w:val="001E2268"/>
    <w:rsid w:val="001E2BE0"/>
    <w:rsid w:val="001E3267"/>
    <w:rsid w:val="001E3F86"/>
    <w:rsid w:val="001E49D7"/>
    <w:rsid w:val="001E5B92"/>
    <w:rsid w:val="001E7574"/>
    <w:rsid w:val="001F0E29"/>
    <w:rsid w:val="001F1AB6"/>
    <w:rsid w:val="001F1FE5"/>
    <w:rsid w:val="001F25D9"/>
    <w:rsid w:val="001F4D65"/>
    <w:rsid w:val="001F5326"/>
    <w:rsid w:val="00200F7C"/>
    <w:rsid w:val="002013CF"/>
    <w:rsid w:val="002019ED"/>
    <w:rsid w:val="00201BB4"/>
    <w:rsid w:val="00202A3D"/>
    <w:rsid w:val="00202AD8"/>
    <w:rsid w:val="00203B50"/>
    <w:rsid w:val="00204417"/>
    <w:rsid w:val="00205DA1"/>
    <w:rsid w:val="0020786B"/>
    <w:rsid w:val="0021107F"/>
    <w:rsid w:val="00212A14"/>
    <w:rsid w:val="00213B34"/>
    <w:rsid w:val="00215B83"/>
    <w:rsid w:val="0021684C"/>
    <w:rsid w:val="00216FFA"/>
    <w:rsid w:val="00217BF6"/>
    <w:rsid w:val="0022039A"/>
    <w:rsid w:val="0022061C"/>
    <w:rsid w:val="00220C33"/>
    <w:rsid w:val="00221233"/>
    <w:rsid w:val="00222707"/>
    <w:rsid w:val="00224094"/>
    <w:rsid w:val="0022583C"/>
    <w:rsid w:val="0022619C"/>
    <w:rsid w:val="002321D1"/>
    <w:rsid w:val="00237C06"/>
    <w:rsid w:val="00240CC5"/>
    <w:rsid w:val="00242C97"/>
    <w:rsid w:val="00243CD9"/>
    <w:rsid w:val="00246094"/>
    <w:rsid w:val="00246AAB"/>
    <w:rsid w:val="00247AD5"/>
    <w:rsid w:val="00250BE7"/>
    <w:rsid w:val="00253329"/>
    <w:rsid w:val="00253B28"/>
    <w:rsid w:val="00253DFC"/>
    <w:rsid w:val="00254C7D"/>
    <w:rsid w:val="00255679"/>
    <w:rsid w:val="00260E36"/>
    <w:rsid w:val="00261126"/>
    <w:rsid w:val="00261D29"/>
    <w:rsid w:val="00263532"/>
    <w:rsid w:val="002638FF"/>
    <w:rsid w:val="00263AC6"/>
    <w:rsid w:val="00263F46"/>
    <w:rsid w:val="00266146"/>
    <w:rsid w:val="00267142"/>
    <w:rsid w:val="00267EE6"/>
    <w:rsid w:val="0027226B"/>
    <w:rsid w:val="0027335F"/>
    <w:rsid w:val="00274B5A"/>
    <w:rsid w:val="00274FAC"/>
    <w:rsid w:val="002750B0"/>
    <w:rsid w:val="002775E4"/>
    <w:rsid w:val="002802FD"/>
    <w:rsid w:val="0028254D"/>
    <w:rsid w:val="00290CB7"/>
    <w:rsid w:val="00293DD6"/>
    <w:rsid w:val="0029587C"/>
    <w:rsid w:val="00296541"/>
    <w:rsid w:val="002A3886"/>
    <w:rsid w:val="002A3986"/>
    <w:rsid w:val="002A545A"/>
    <w:rsid w:val="002A618B"/>
    <w:rsid w:val="002B0824"/>
    <w:rsid w:val="002B1051"/>
    <w:rsid w:val="002B21A0"/>
    <w:rsid w:val="002B33AF"/>
    <w:rsid w:val="002B3F13"/>
    <w:rsid w:val="002B7813"/>
    <w:rsid w:val="002B7DC8"/>
    <w:rsid w:val="002C1CCF"/>
    <w:rsid w:val="002C3289"/>
    <w:rsid w:val="002C3A51"/>
    <w:rsid w:val="002C3A98"/>
    <w:rsid w:val="002C767E"/>
    <w:rsid w:val="002D00B1"/>
    <w:rsid w:val="002D0AD6"/>
    <w:rsid w:val="002D2D5C"/>
    <w:rsid w:val="002D4251"/>
    <w:rsid w:val="002D425C"/>
    <w:rsid w:val="002D49B4"/>
    <w:rsid w:val="002D711F"/>
    <w:rsid w:val="002D728F"/>
    <w:rsid w:val="002E087A"/>
    <w:rsid w:val="002E0CD5"/>
    <w:rsid w:val="002E157D"/>
    <w:rsid w:val="002E1BB9"/>
    <w:rsid w:val="002E3C31"/>
    <w:rsid w:val="002E5E44"/>
    <w:rsid w:val="002E6058"/>
    <w:rsid w:val="002E6774"/>
    <w:rsid w:val="002E743C"/>
    <w:rsid w:val="002F0578"/>
    <w:rsid w:val="002F169D"/>
    <w:rsid w:val="002F1A24"/>
    <w:rsid w:val="002F24DC"/>
    <w:rsid w:val="002F2D31"/>
    <w:rsid w:val="00304159"/>
    <w:rsid w:val="003049E4"/>
    <w:rsid w:val="0030722A"/>
    <w:rsid w:val="00307E01"/>
    <w:rsid w:val="003106F4"/>
    <w:rsid w:val="003136DF"/>
    <w:rsid w:val="003137BF"/>
    <w:rsid w:val="00314E6B"/>
    <w:rsid w:val="003154C2"/>
    <w:rsid w:val="00315BF1"/>
    <w:rsid w:val="00315C2C"/>
    <w:rsid w:val="00316827"/>
    <w:rsid w:val="00317403"/>
    <w:rsid w:val="0032244A"/>
    <w:rsid w:val="0032564C"/>
    <w:rsid w:val="00327296"/>
    <w:rsid w:val="003315D8"/>
    <w:rsid w:val="00331B1B"/>
    <w:rsid w:val="00332FD2"/>
    <w:rsid w:val="00333BC9"/>
    <w:rsid w:val="00333D0B"/>
    <w:rsid w:val="00334F21"/>
    <w:rsid w:val="0033509F"/>
    <w:rsid w:val="00336207"/>
    <w:rsid w:val="00336505"/>
    <w:rsid w:val="00337226"/>
    <w:rsid w:val="00337988"/>
    <w:rsid w:val="00337BEE"/>
    <w:rsid w:val="00340CF8"/>
    <w:rsid w:val="00340F46"/>
    <w:rsid w:val="00341278"/>
    <w:rsid w:val="0034251F"/>
    <w:rsid w:val="00344D38"/>
    <w:rsid w:val="0034760E"/>
    <w:rsid w:val="00347DD7"/>
    <w:rsid w:val="00350C55"/>
    <w:rsid w:val="00350CC1"/>
    <w:rsid w:val="00350E06"/>
    <w:rsid w:val="00351C31"/>
    <w:rsid w:val="0035226C"/>
    <w:rsid w:val="00352BD2"/>
    <w:rsid w:val="003539C3"/>
    <w:rsid w:val="003554B0"/>
    <w:rsid w:val="00355DDC"/>
    <w:rsid w:val="00357C99"/>
    <w:rsid w:val="003633BE"/>
    <w:rsid w:val="00365B75"/>
    <w:rsid w:val="00365E50"/>
    <w:rsid w:val="0036645B"/>
    <w:rsid w:val="00366BF4"/>
    <w:rsid w:val="003730E2"/>
    <w:rsid w:val="00373BE9"/>
    <w:rsid w:val="003751C1"/>
    <w:rsid w:val="00375401"/>
    <w:rsid w:val="0037587F"/>
    <w:rsid w:val="0037598E"/>
    <w:rsid w:val="00375C37"/>
    <w:rsid w:val="00375DED"/>
    <w:rsid w:val="00377DF8"/>
    <w:rsid w:val="00377E49"/>
    <w:rsid w:val="00380D10"/>
    <w:rsid w:val="00381667"/>
    <w:rsid w:val="00381BC1"/>
    <w:rsid w:val="003822D9"/>
    <w:rsid w:val="003827C1"/>
    <w:rsid w:val="00384D79"/>
    <w:rsid w:val="00385294"/>
    <w:rsid w:val="003866D8"/>
    <w:rsid w:val="00387746"/>
    <w:rsid w:val="00387D2B"/>
    <w:rsid w:val="003907F0"/>
    <w:rsid w:val="00391FE6"/>
    <w:rsid w:val="00391FF7"/>
    <w:rsid w:val="0039360D"/>
    <w:rsid w:val="003941D3"/>
    <w:rsid w:val="00394251"/>
    <w:rsid w:val="00395165"/>
    <w:rsid w:val="00395FFF"/>
    <w:rsid w:val="00396352"/>
    <w:rsid w:val="00397533"/>
    <w:rsid w:val="003A0AAA"/>
    <w:rsid w:val="003A1221"/>
    <w:rsid w:val="003A261A"/>
    <w:rsid w:val="003A26F4"/>
    <w:rsid w:val="003A2EFB"/>
    <w:rsid w:val="003A44AC"/>
    <w:rsid w:val="003A61EF"/>
    <w:rsid w:val="003A7DAE"/>
    <w:rsid w:val="003B2E56"/>
    <w:rsid w:val="003B2E96"/>
    <w:rsid w:val="003B3B57"/>
    <w:rsid w:val="003B60E2"/>
    <w:rsid w:val="003B7852"/>
    <w:rsid w:val="003B7931"/>
    <w:rsid w:val="003B7BDF"/>
    <w:rsid w:val="003C0272"/>
    <w:rsid w:val="003C69A7"/>
    <w:rsid w:val="003C7548"/>
    <w:rsid w:val="003D0183"/>
    <w:rsid w:val="003D1508"/>
    <w:rsid w:val="003D1A1C"/>
    <w:rsid w:val="003D1D78"/>
    <w:rsid w:val="003D3DF2"/>
    <w:rsid w:val="003D7181"/>
    <w:rsid w:val="003E013D"/>
    <w:rsid w:val="003E0C1C"/>
    <w:rsid w:val="003E13C9"/>
    <w:rsid w:val="003E1CEE"/>
    <w:rsid w:val="003E2A3B"/>
    <w:rsid w:val="003E2DAE"/>
    <w:rsid w:val="003E40EC"/>
    <w:rsid w:val="003E5954"/>
    <w:rsid w:val="003E6DDB"/>
    <w:rsid w:val="003E72BD"/>
    <w:rsid w:val="003F1A6F"/>
    <w:rsid w:val="003F519C"/>
    <w:rsid w:val="003F557D"/>
    <w:rsid w:val="004008F3"/>
    <w:rsid w:val="00405918"/>
    <w:rsid w:val="004074CF"/>
    <w:rsid w:val="00407BC6"/>
    <w:rsid w:val="00407BD0"/>
    <w:rsid w:val="00411B20"/>
    <w:rsid w:val="00412ED1"/>
    <w:rsid w:val="0041516C"/>
    <w:rsid w:val="00415A27"/>
    <w:rsid w:val="00416341"/>
    <w:rsid w:val="004202A8"/>
    <w:rsid w:val="00421098"/>
    <w:rsid w:val="004214C7"/>
    <w:rsid w:val="00422901"/>
    <w:rsid w:val="004266E0"/>
    <w:rsid w:val="00426A80"/>
    <w:rsid w:val="00427D1E"/>
    <w:rsid w:val="004317A8"/>
    <w:rsid w:val="004323F3"/>
    <w:rsid w:val="00432D3F"/>
    <w:rsid w:val="00432ED4"/>
    <w:rsid w:val="00434735"/>
    <w:rsid w:val="00434FC3"/>
    <w:rsid w:val="00435162"/>
    <w:rsid w:val="004366BF"/>
    <w:rsid w:val="00436850"/>
    <w:rsid w:val="00441462"/>
    <w:rsid w:val="00444688"/>
    <w:rsid w:val="00445FC2"/>
    <w:rsid w:val="00446C44"/>
    <w:rsid w:val="004473F6"/>
    <w:rsid w:val="00450220"/>
    <w:rsid w:val="00451822"/>
    <w:rsid w:val="004531A6"/>
    <w:rsid w:val="004543E6"/>
    <w:rsid w:val="00455DE0"/>
    <w:rsid w:val="00455F63"/>
    <w:rsid w:val="00460EAA"/>
    <w:rsid w:val="00460F92"/>
    <w:rsid w:val="00461C04"/>
    <w:rsid w:val="00462B88"/>
    <w:rsid w:val="00462ED4"/>
    <w:rsid w:val="004649B3"/>
    <w:rsid w:val="004650DC"/>
    <w:rsid w:val="00465763"/>
    <w:rsid w:val="00465F87"/>
    <w:rsid w:val="004719C8"/>
    <w:rsid w:val="00471DB3"/>
    <w:rsid w:val="004728B7"/>
    <w:rsid w:val="00473214"/>
    <w:rsid w:val="004754E8"/>
    <w:rsid w:val="00475636"/>
    <w:rsid w:val="00475E0E"/>
    <w:rsid w:val="004763DE"/>
    <w:rsid w:val="004764A8"/>
    <w:rsid w:val="00476579"/>
    <w:rsid w:val="0048124C"/>
    <w:rsid w:val="0048129C"/>
    <w:rsid w:val="00481650"/>
    <w:rsid w:val="00482D26"/>
    <w:rsid w:val="00485F5E"/>
    <w:rsid w:val="004900B2"/>
    <w:rsid w:val="00490C5C"/>
    <w:rsid w:val="00490EF2"/>
    <w:rsid w:val="00491010"/>
    <w:rsid w:val="0049238A"/>
    <w:rsid w:val="00493CEA"/>
    <w:rsid w:val="004975A3"/>
    <w:rsid w:val="00497711"/>
    <w:rsid w:val="0049789D"/>
    <w:rsid w:val="004A050A"/>
    <w:rsid w:val="004A1066"/>
    <w:rsid w:val="004A1E75"/>
    <w:rsid w:val="004A1FDA"/>
    <w:rsid w:val="004A2595"/>
    <w:rsid w:val="004A329E"/>
    <w:rsid w:val="004A7479"/>
    <w:rsid w:val="004B0F9B"/>
    <w:rsid w:val="004B12BD"/>
    <w:rsid w:val="004B22F6"/>
    <w:rsid w:val="004B4377"/>
    <w:rsid w:val="004B4F2D"/>
    <w:rsid w:val="004B6411"/>
    <w:rsid w:val="004C000E"/>
    <w:rsid w:val="004C0437"/>
    <w:rsid w:val="004C07AF"/>
    <w:rsid w:val="004C10AF"/>
    <w:rsid w:val="004C1702"/>
    <w:rsid w:val="004C1B41"/>
    <w:rsid w:val="004C1BA0"/>
    <w:rsid w:val="004C3E4B"/>
    <w:rsid w:val="004C3E79"/>
    <w:rsid w:val="004C5091"/>
    <w:rsid w:val="004C7899"/>
    <w:rsid w:val="004D0E15"/>
    <w:rsid w:val="004D1DDC"/>
    <w:rsid w:val="004D25D0"/>
    <w:rsid w:val="004D2C38"/>
    <w:rsid w:val="004D313E"/>
    <w:rsid w:val="004D4AC6"/>
    <w:rsid w:val="004D7B6C"/>
    <w:rsid w:val="004E0598"/>
    <w:rsid w:val="004E06A3"/>
    <w:rsid w:val="004E06F8"/>
    <w:rsid w:val="004E0C4C"/>
    <w:rsid w:val="004E11A7"/>
    <w:rsid w:val="004E1431"/>
    <w:rsid w:val="004E1929"/>
    <w:rsid w:val="004E232C"/>
    <w:rsid w:val="004E23D0"/>
    <w:rsid w:val="004E67BC"/>
    <w:rsid w:val="004E73F7"/>
    <w:rsid w:val="004E7BE4"/>
    <w:rsid w:val="004F14B7"/>
    <w:rsid w:val="004F2623"/>
    <w:rsid w:val="004F371F"/>
    <w:rsid w:val="004F521C"/>
    <w:rsid w:val="004F5C13"/>
    <w:rsid w:val="004F5E49"/>
    <w:rsid w:val="004F5F21"/>
    <w:rsid w:val="004F73D1"/>
    <w:rsid w:val="004F7CCA"/>
    <w:rsid w:val="004F7D45"/>
    <w:rsid w:val="005004F1"/>
    <w:rsid w:val="00500A5B"/>
    <w:rsid w:val="005046FF"/>
    <w:rsid w:val="005056F7"/>
    <w:rsid w:val="00505F74"/>
    <w:rsid w:val="00507861"/>
    <w:rsid w:val="00510FC8"/>
    <w:rsid w:val="0051348A"/>
    <w:rsid w:val="00516E32"/>
    <w:rsid w:val="00520E71"/>
    <w:rsid w:val="005215B0"/>
    <w:rsid w:val="00523531"/>
    <w:rsid w:val="00524528"/>
    <w:rsid w:val="00525259"/>
    <w:rsid w:val="005349AF"/>
    <w:rsid w:val="0053579E"/>
    <w:rsid w:val="00535ABA"/>
    <w:rsid w:val="00535BAB"/>
    <w:rsid w:val="00536F4F"/>
    <w:rsid w:val="0054063D"/>
    <w:rsid w:val="005419B4"/>
    <w:rsid w:val="00542A0B"/>
    <w:rsid w:val="00542FBB"/>
    <w:rsid w:val="00543BA4"/>
    <w:rsid w:val="00544E35"/>
    <w:rsid w:val="00545087"/>
    <w:rsid w:val="00545734"/>
    <w:rsid w:val="005475F4"/>
    <w:rsid w:val="00547926"/>
    <w:rsid w:val="00547AFA"/>
    <w:rsid w:val="005524CC"/>
    <w:rsid w:val="00553553"/>
    <w:rsid w:val="00553A01"/>
    <w:rsid w:val="00554468"/>
    <w:rsid w:val="00554814"/>
    <w:rsid w:val="00555A15"/>
    <w:rsid w:val="00555DCF"/>
    <w:rsid w:val="0056061B"/>
    <w:rsid w:val="0056113A"/>
    <w:rsid w:val="00561C50"/>
    <w:rsid w:val="00563F5D"/>
    <w:rsid w:val="00564EC5"/>
    <w:rsid w:val="005651B1"/>
    <w:rsid w:val="00565BAD"/>
    <w:rsid w:val="00565FEC"/>
    <w:rsid w:val="00566EB3"/>
    <w:rsid w:val="005670B8"/>
    <w:rsid w:val="0056751C"/>
    <w:rsid w:val="00572CF7"/>
    <w:rsid w:val="00576364"/>
    <w:rsid w:val="00576421"/>
    <w:rsid w:val="0057678A"/>
    <w:rsid w:val="00577297"/>
    <w:rsid w:val="00577692"/>
    <w:rsid w:val="00580A80"/>
    <w:rsid w:val="00582357"/>
    <w:rsid w:val="005827F4"/>
    <w:rsid w:val="00584089"/>
    <w:rsid w:val="0058460A"/>
    <w:rsid w:val="00584816"/>
    <w:rsid w:val="00584974"/>
    <w:rsid w:val="00585B5C"/>
    <w:rsid w:val="00585CB7"/>
    <w:rsid w:val="00585FA5"/>
    <w:rsid w:val="0058604F"/>
    <w:rsid w:val="00586097"/>
    <w:rsid w:val="00587455"/>
    <w:rsid w:val="00587544"/>
    <w:rsid w:val="00592F8A"/>
    <w:rsid w:val="00593D14"/>
    <w:rsid w:val="00594F70"/>
    <w:rsid w:val="005954F1"/>
    <w:rsid w:val="00595669"/>
    <w:rsid w:val="0059707E"/>
    <w:rsid w:val="005A0179"/>
    <w:rsid w:val="005A0C91"/>
    <w:rsid w:val="005A2570"/>
    <w:rsid w:val="005A37CC"/>
    <w:rsid w:val="005A62C1"/>
    <w:rsid w:val="005A6D48"/>
    <w:rsid w:val="005A796F"/>
    <w:rsid w:val="005B1246"/>
    <w:rsid w:val="005B28F2"/>
    <w:rsid w:val="005B5190"/>
    <w:rsid w:val="005B7203"/>
    <w:rsid w:val="005B78EA"/>
    <w:rsid w:val="005C2F39"/>
    <w:rsid w:val="005C3338"/>
    <w:rsid w:val="005C6693"/>
    <w:rsid w:val="005D1DC9"/>
    <w:rsid w:val="005D32D0"/>
    <w:rsid w:val="005D3A90"/>
    <w:rsid w:val="005D435E"/>
    <w:rsid w:val="005D629F"/>
    <w:rsid w:val="005D7129"/>
    <w:rsid w:val="005D7C37"/>
    <w:rsid w:val="005E052F"/>
    <w:rsid w:val="005E06CB"/>
    <w:rsid w:val="005E0A29"/>
    <w:rsid w:val="005E0AE6"/>
    <w:rsid w:val="005E0F79"/>
    <w:rsid w:val="005E341B"/>
    <w:rsid w:val="005E4ED8"/>
    <w:rsid w:val="005F009D"/>
    <w:rsid w:val="005F127F"/>
    <w:rsid w:val="005F1B48"/>
    <w:rsid w:val="005F1F64"/>
    <w:rsid w:val="005F3149"/>
    <w:rsid w:val="005F3252"/>
    <w:rsid w:val="005F50A8"/>
    <w:rsid w:val="005F581B"/>
    <w:rsid w:val="005F655D"/>
    <w:rsid w:val="005F6AEF"/>
    <w:rsid w:val="005F7B89"/>
    <w:rsid w:val="00600A65"/>
    <w:rsid w:val="0060277E"/>
    <w:rsid w:val="0060412B"/>
    <w:rsid w:val="00604698"/>
    <w:rsid w:val="00606247"/>
    <w:rsid w:val="00607EA4"/>
    <w:rsid w:val="00612FBF"/>
    <w:rsid w:val="006159DD"/>
    <w:rsid w:val="00615A28"/>
    <w:rsid w:val="00616A51"/>
    <w:rsid w:val="00616AD2"/>
    <w:rsid w:val="006201E3"/>
    <w:rsid w:val="00622B83"/>
    <w:rsid w:val="00623BE6"/>
    <w:rsid w:val="00625810"/>
    <w:rsid w:val="00625919"/>
    <w:rsid w:val="00626C31"/>
    <w:rsid w:val="00626E5E"/>
    <w:rsid w:val="00627EA0"/>
    <w:rsid w:val="00630110"/>
    <w:rsid w:val="00630AB7"/>
    <w:rsid w:val="006322C8"/>
    <w:rsid w:val="00635E27"/>
    <w:rsid w:val="00636CE5"/>
    <w:rsid w:val="006410EE"/>
    <w:rsid w:val="00641512"/>
    <w:rsid w:val="00641C53"/>
    <w:rsid w:val="00641EC4"/>
    <w:rsid w:val="006420A6"/>
    <w:rsid w:val="00643526"/>
    <w:rsid w:val="00647B67"/>
    <w:rsid w:val="00651398"/>
    <w:rsid w:val="00652451"/>
    <w:rsid w:val="0065284D"/>
    <w:rsid w:val="006617FA"/>
    <w:rsid w:val="00661F2E"/>
    <w:rsid w:val="0066280B"/>
    <w:rsid w:val="00664CF9"/>
    <w:rsid w:val="00665CE1"/>
    <w:rsid w:val="0066756B"/>
    <w:rsid w:val="00670A84"/>
    <w:rsid w:val="00672844"/>
    <w:rsid w:val="006728F5"/>
    <w:rsid w:val="00673E80"/>
    <w:rsid w:val="00675A48"/>
    <w:rsid w:val="00675FAC"/>
    <w:rsid w:val="00676CEA"/>
    <w:rsid w:val="00676DD2"/>
    <w:rsid w:val="00680662"/>
    <w:rsid w:val="006806C5"/>
    <w:rsid w:val="00680B6F"/>
    <w:rsid w:val="006810DC"/>
    <w:rsid w:val="006813F5"/>
    <w:rsid w:val="00681F5D"/>
    <w:rsid w:val="006825F5"/>
    <w:rsid w:val="00682D43"/>
    <w:rsid w:val="006853C9"/>
    <w:rsid w:val="0068696F"/>
    <w:rsid w:val="00690332"/>
    <w:rsid w:val="0069225F"/>
    <w:rsid w:val="006931E1"/>
    <w:rsid w:val="00695A5B"/>
    <w:rsid w:val="00696210"/>
    <w:rsid w:val="006A051E"/>
    <w:rsid w:val="006A1562"/>
    <w:rsid w:val="006A1E60"/>
    <w:rsid w:val="006A23A0"/>
    <w:rsid w:val="006A25AC"/>
    <w:rsid w:val="006A5384"/>
    <w:rsid w:val="006A6B5E"/>
    <w:rsid w:val="006A6D8D"/>
    <w:rsid w:val="006A786A"/>
    <w:rsid w:val="006A7BD9"/>
    <w:rsid w:val="006A7E54"/>
    <w:rsid w:val="006A7EBA"/>
    <w:rsid w:val="006A7F4B"/>
    <w:rsid w:val="006B15AD"/>
    <w:rsid w:val="006B1C45"/>
    <w:rsid w:val="006B33D3"/>
    <w:rsid w:val="006B3D43"/>
    <w:rsid w:val="006B3F87"/>
    <w:rsid w:val="006B5B7C"/>
    <w:rsid w:val="006B5FAD"/>
    <w:rsid w:val="006B6B79"/>
    <w:rsid w:val="006C05A0"/>
    <w:rsid w:val="006C1421"/>
    <w:rsid w:val="006C2C09"/>
    <w:rsid w:val="006C3957"/>
    <w:rsid w:val="006C406C"/>
    <w:rsid w:val="006C7313"/>
    <w:rsid w:val="006D08F1"/>
    <w:rsid w:val="006D16EC"/>
    <w:rsid w:val="006D2836"/>
    <w:rsid w:val="006D2AC5"/>
    <w:rsid w:val="006D2DCD"/>
    <w:rsid w:val="006D3BE6"/>
    <w:rsid w:val="006D4786"/>
    <w:rsid w:val="006D4FD4"/>
    <w:rsid w:val="006D7559"/>
    <w:rsid w:val="006D7F4E"/>
    <w:rsid w:val="006E1317"/>
    <w:rsid w:val="006E1A3C"/>
    <w:rsid w:val="006E2F61"/>
    <w:rsid w:val="006E377F"/>
    <w:rsid w:val="006E625A"/>
    <w:rsid w:val="006E7B53"/>
    <w:rsid w:val="006F1DF2"/>
    <w:rsid w:val="006F2593"/>
    <w:rsid w:val="006F3A8A"/>
    <w:rsid w:val="006F3BD9"/>
    <w:rsid w:val="006F47C4"/>
    <w:rsid w:val="006F4855"/>
    <w:rsid w:val="006F4863"/>
    <w:rsid w:val="006F4BA4"/>
    <w:rsid w:val="006F64B5"/>
    <w:rsid w:val="006F7120"/>
    <w:rsid w:val="006F7318"/>
    <w:rsid w:val="00701257"/>
    <w:rsid w:val="00701763"/>
    <w:rsid w:val="0070250E"/>
    <w:rsid w:val="00702F1F"/>
    <w:rsid w:val="00704454"/>
    <w:rsid w:val="007044E2"/>
    <w:rsid w:val="00705049"/>
    <w:rsid w:val="00713D5E"/>
    <w:rsid w:val="0071526B"/>
    <w:rsid w:val="007156D8"/>
    <w:rsid w:val="00717680"/>
    <w:rsid w:val="007201C2"/>
    <w:rsid w:val="007215E6"/>
    <w:rsid w:val="007253C9"/>
    <w:rsid w:val="0072545C"/>
    <w:rsid w:val="007265B1"/>
    <w:rsid w:val="00732F56"/>
    <w:rsid w:val="007334A3"/>
    <w:rsid w:val="0073524C"/>
    <w:rsid w:val="0073594E"/>
    <w:rsid w:val="00735FE4"/>
    <w:rsid w:val="0073683B"/>
    <w:rsid w:val="00736B71"/>
    <w:rsid w:val="0073734A"/>
    <w:rsid w:val="0073737C"/>
    <w:rsid w:val="00737FE3"/>
    <w:rsid w:val="00740A7B"/>
    <w:rsid w:val="00740B0A"/>
    <w:rsid w:val="00740E6B"/>
    <w:rsid w:val="00740E7F"/>
    <w:rsid w:val="00741014"/>
    <w:rsid w:val="007411CB"/>
    <w:rsid w:val="00741777"/>
    <w:rsid w:val="00741DD9"/>
    <w:rsid w:val="00744C8A"/>
    <w:rsid w:val="00750199"/>
    <w:rsid w:val="00752869"/>
    <w:rsid w:val="007635FF"/>
    <w:rsid w:val="007639A5"/>
    <w:rsid w:val="00763DC8"/>
    <w:rsid w:val="00764965"/>
    <w:rsid w:val="007659A3"/>
    <w:rsid w:val="00766256"/>
    <w:rsid w:val="00766E80"/>
    <w:rsid w:val="007676E8"/>
    <w:rsid w:val="00770A90"/>
    <w:rsid w:val="00771024"/>
    <w:rsid w:val="0077297B"/>
    <w:rsid w:val="00774323"/>
    <w:rsid w:val="0077478E"/>
    <w:rsid w:val="0077500C"/>
    <w:rsid w:val="00775974"/>
    <w:rsid w:val="00775A7C"/>
    <w:rsid w:val="00776D46"/>
    <w:rsid w:val="0078107B"/>
    <w:rsid w:val="00782FCB"/>
    <w:rsid w:val="007845F5"/>
    <w:rsid w:val="007848B2"/>
    <w:rsid w:val="00784AC5"/>
    <w:rsid w:val="00785787"/>
    <w:rsid w:val="00786F69"/>
    <w:rsid w:val="007872A4"/>
    <w:rsid w:val="00790817"/>
    <w:rsid w:val="007921D1"/>
    <w:rsid w:val="00793466"/>
    <w:rsid w:val="00794029"/>
    <w:rsid w:val="0079621C"/>
    <w:rsid w:val="00797413"/>
    <w:rsid w:val="007B04FF"/>
    <w:rsid w:val="007B0601"/>
    <w:rsid w:val="007B0681"/>
    <w:rsid w:val="007B40E2"/>
    <w:rsid w:val="007B41E1"/>
    <w:rsid w:val="007B5980"/>
    <w:rsid w:val="007C06DF"/>
    <w:rsid w:val="007C0910"/>
    <w:rsid w:val="007C0CAB"/>
    <w:rsid w:val="007C10E3"/>
    <w:rsid w:val="007C10EE"/>
    <w:rsid w:val="007C204C"/>
    <w:rsid w:val="007C280D"/>
    <w:rsid w:val="007C3938"/>
    <w:rsid w:val="007C41C2"/>
    <w:rsid w:val="007C566F"/>
    <w:rsid w:val="007C74F1"/>
    <w:rsid w:val="007D0652"/>
    <w:rsid w:val="007D1423"/>
    <w:rsid w:val="007D2111"/>
    <w:rsid w:val="007D4F18"/>
    <w:rsid w:val="007D5C5E"/>
    <w:rsid w:val="007D5CDB"/>
    <w:rsid w:val="007D5EB6"/>
    <w:rsid w:val="007D67D7"/>
    <w:rsid w:val="007E0731"/>
    <w:rsid w:val="007E086D"/>
    <w:rsid w:val="007E0C5E"/>
    <w:rsid w:val="007E13CB"/>
    <w:rsid w:val="007E152E"/>
    <w:rsid w:val="007E23C3"/>
    <w:rsid w:val="007E4563"/>
    <w:rsid w:val="007E529B"/>
    <w:rsid w:val="007E52E3"/>
    <w:rsid w:val="007E6BC1"/>
    <w:rsid w:val="007F17BF"/>
    <w:rsid w:val="007F70F1"/>
    <w:rsid w:val="00800DEB"/>
    <w:rsid w:val="0080150D"/>
    <w:rsid w:val="00801834"/>
    <w:rsid w:val="00801A29"/>
    <w:rsid w:val="00802474"/>
    <w:rsid w:val="00802884"/>
    <w:rsid w:val="00804C05"/>
    <w:rsid w:val="0080622D"/>
    <w:rsid w:val="008076BA"/>
    <w:rsid w:val="008144E9"/>
    <w:rsid w:val="00814796"/>
    <w:rsid w:val="00815A03"/>
    <w:rsid w:val="00815A5A"/>
    <w:rsid w:val="00815DDD"/>
    <w:rsid w:val="008162CB"/>
    <w:rsid w:val="00816EC7"/>
    <w:rsid w:val="008206D8"/>
    <w:rsid w:val="00821022"/>
    <w:rsid w:val="00824062"/>
    <w:rsid w:val="008248DC"/>
    <w:rsid w:val="00824E9B"/>
    <w:rsid w:val="0082570B"/>
    <w:rsid w:val="00826051"/>
    <w:rsid w:val="00826296"/>
    <w:rsid w:val="008266BA"/>
    <w:rsid w:val="00827BFA"/>
    <w:rsid w:val="008317C5"/>
    <w:rsid w:val="00831AA2"/>
    <w:rsid w:val="00832CF1"/>
    <w:rsid w:val="008335A8"/>
    <w:rsid w:val="0083421D"/>
    <w:rsid w:val="0083579A"/>
    <w:rsid w:val="00837F4C"/>
    <w:rsid w:val="00843435"/>
    <w:rsid w:val="0084346F"/>
    <w:rsid w:val="00844FFB"/>
    <w:rsid w:val="00845108"/>
    <w:rsid w:val="008466AD"/>
    <w:rsid w:val="00850795"/>
    <w:rsid w:val="008516D8"/>
    <w:rsid w:val="00851778"/>
    <w:rsid w:val="00853A2E"/>
    <w:rsid w:val="00855C94"/>
    <w:rsid w:val="00855D08"/>
    <w:rsid w:val="00856907"/>
    <w:rsid w:val="00857422"/>
    <w:rsid w:val="00863457"/>
    <w:rsid w:val="00865C1A"/>
    <w:rsid w:val="00870144"/>
    <w:rsid w:val="00870846"/>
    <w:rsid w:val="00870E71"/>
    <w:rsid w:val="00872DFB"/>
    <w:rsid w:val="00872FE3"/>
    <w:rsid w:val="0087495D"/>
    <w:rsid w:val="00874BC5"/>
    <w:rsid w:val="008752A4"/>
    <w:rsid w:val="00875AD7"/>
    <w:rsid w:val="00880E77"/>
    <w:rsid w:val="00881027"/>
    <w:rsid w:val="00881632"/>
    <w:rsid w:val="00883578"/>
    <w:rsid w:val="00884FBD"/>
    <w:rsid w:val="00885823"/>
    <w:rsid w:val="00886943"/>
    <w:rsid w:val="00892103"/>
    <w:rsid w:val="0089413A"/>
    <w:rsid w:val="00895BB5"/>
    <w:rsid w:val="00897709"/>
    <w:rsid w:val="00897D3E"/>
    <w:rsid w:val="008A245D"/>
    <w:rsid w:val="008A264B"/>
    <w:rsid w:val="008A2BA1"/>
    <w:rsid w:val="008A36AF"/>
    <w:rsid w:val="008A45DA"/>
    <w:rsid w:val="008A5698"/>
    <w:rsid w:val="008A660D"/>
    <w:rsid w:val="008A707C"/>
    <w:rsid w:val="008A7625"/>
    <w:rsid w:val="008B37E4"/>
    <w:rsid w:val="008B3EEF"/>
    <w:rsid w:val="008B50E3"/>
    <w:rsid w:val="008B5593"/>
    <w:rsid w:val="008B58A5"/>
    <w:rsid w:val="008B5B89"/>
    <w:rsid w:val="008B62A2"/>
    <w:rsid w:val="008B6BC3"/>
    <w:rsid w:val="008C0C10"/>
    <w:rsid w:val="008C187D"/>
    <w:rsid w:val="008C23C6"/>
    <w:rsid w:val="008C43C6"/>
    <w:rsid w:val="008C5435"/>
    <w:rsid w:val="008C5BD1"/>
    <w:rsid w:val="008C627C"/>
    <w:rsid w:val="008C66F3"/>
    <w:rsid w:val="008D16F7"/>
    <w:rsid w:val="008D1DCC"/>
    <w:rsid w:val="008D2458"/>
    <w:rsid w:val="008D245E"/>
    <w:rsid w:val="008D2715"/>
    <w:rsid w:val="008D37E4"/>
    <w:rsid w:val="008D3F5C"/>
    <w:rsid w:val="008D44B7"/>
    <w:rsid w:val="008D513C"/>
    <w:rsid w:val="008D5B22"/>
    <w:rsid w:val="008D7070"/>
    <w:rsid w:val="008D7ED5"/>
    <w:rsid w:val="008E0BDE"/>
    <w:rsid w:val="008E11C2"/>
    <w:rsid w:val="008E18FB"/>
    <w:rsid w:val="008E1BA2"/>
    <w:rsid w:val="008E2063"/>
    <w:rsid w:val="008E4ACC"/>
    <w:rsid w:val="008E4D7F"/>
    <w:rsid w:val="008E5AEA"/>
    <w:rsid w:val="008E5C65"/>
    <w:rsid w:val="008E7622"/>
    <w:rsid w:val="008F0232"/>
    <w:rsid w:val="008F24BB"/>
    <w:rsid w:val="008F2940"/>
    <w:rsid w:val="008F3779"/>
    <w:rsid w:val="008F3DF7"/>
    <w:rsid w:val="008F587D"/>
    <w:rsid w:val="008F599D"/>
    <w:rsid w:val="008F5B95"/>
    <w:rsid w:val="008F6E80"/>
    <w:rsid w:val="008F75E9"/>
    <w:rsid w:val="008F76FC"/>
    <w:rsid w:val="009006BF"/>
    <w:rsid w:val="00900D9D"/>
    <w:rsid w:val="00903D2B"/>
    <w:rsid w:val="00905E43"/>
    <w:rsid w:val="0090675A"/>
    <w:rsid w:val="009107A8"/>
    <w:rsid w:val="0091147D"/>
    <w:rsid w:val="009133A9"/>
    <w:rsid w:val="009143F7"/>
    <w:rsid w:val="00914C7F"/>
    <w:rsid w:val="00920ECB"/>
    <w:rsid w:val="009217D0"/>
    <w:rsid w:val="00922A23"/>
    <w:rsid w:val="00922B67"/>
    <w:rsid w:val="00923A69"/>
    <w:rsid w:val="00924075"/>
    <w:rsid w:val="00924828"/>
    <w:rsid w:val="00924B3B"/>
    <w:rsid w:val="00924B87"/>
    <w:rsid w:val="0093079D"/>
    <w:rsid w:val="0093107A"/>
    <w:rsid w:val="00932506"/>
    <w:rsid w:val="0093255D"/>
    <w:rsid w:val="00934A2F"/>
    <w:rsid w:val="00935477"/>
    <w:rsid w:val="00935492"/>
    <w:rsid w:val="009357CD"/>
    <w:rsid w:val="00936A53"/>
    <w:rsid w:val="00936D51"/>
    <w:rsid w:val="00937C9C"/>
    <w:rsid w:val="00937CB4"/>
    <w:rsid w:val="00941248"/>
    <w:rsid w:val="00942CA1"/>
    <w:rsid w:val="0094300D"/>
    <w:rsid w:val="00943A32"/>
    <w:rsid w:val="00947A18"/>
    <w:rsid w:val="00947AD2"/>
    <w:rsid w:val="0095140C"/>
    <w:rsid w:val="0095162C"/>
    <w:rsid w:val="00951D3C"/>
    <w:rsid w:val="00952989"/>
    <w:rsid w:val="009535C2"/>
    <w:rsid w:val="009535CF"/>
    <w:rsid w:val="00953C8D"/>
    <w:rsid w:val="00954CF9"/>
    <w:rsid w:val="009551DF"/>
    <w:rsid w:val="009568FD"/>
    <w:rsid w:val="00957E97"/>
    <w:rsid w:val="0096130B"/>
    <w:rsid w:val="009626BF"/>
    <w:rsid w:val="0096313C"/>
    <w:rsid w:val="00964383"/>
    <w:rsid w:val="00967888"/>
    <w:rsid w:val="009705AC"/>
    <w:rsid w:val="00971CC1"/>
    <w:rsid w:val="0097310F"/>
    <w:rsid w:val="00974E16"/>
    <w:rsid w:val="00977010"/>
    <w:rsid w:val="00977400"/>
    <w:rsid w:val="009805C8"/>
    <w:rsid w:val="00980FBA"/>
    <w:rsid w:val="00981638"/>
    <w:rsid w:val="0098244C"/>
    <w:rsid w:val="0098380D"/>
    <w:rsid w:val="00985670"/>
    <w:rsid w:val="00985923"/>
    <w:rsid w:val="009862C5"/>
    <w:rsid w:val="009874AD"/>
    <w:rsid w:val="00987C16"/>
    <w:rsid w:val="00987FDF"/>
    <w:rsid w:val="00990A75"/>
    <w:rsid w:val="009922A1"/>
    <w:rsid w:val="0099350E"/>
    <w:rsid w:val="009936D0"/>
    <w:rsid w:val="0099655F"/>
    <w:rsid w:val="00997FCA"/>
    <w:rsid w:val="009A1A33"/>
    <w:rsid w:val="009A2B10"/>
    <w:rsid w:val="009A6843"/>
    <w:rsid w:val="009B0265"/>
    <w:rsid w:val="009B5CB1"/>
    <w:rsid w:val="009B69B9"/>
    <w:rsid w:val="009B70D6"/>
    <w:rsid w:val="009C1CEE"/>
    <w:rsid w:val="009C24DE"/>
    <w:rsid w:val="009C2D5F"/>
    <w:rsid w:val="009C4128"/>
    <w:rsid w:val="009C72B6"/>
    <w:rsid w:val="009D1824"/>
    <w:rsid w:val="009D27D4"/>
    <w:rsid w:val="009D27E5"/>
    <w:rsid w:val="009D28D9"/>
    <w:rsid w:val="009D38F1"/>
    <w:rsid w:val="009D51A8"/>
    <w:rsid w:val="009D5A83"/>
    <w:rsid w:val="009D64EE"/>
    <w:rsid w:val="009D67B5"/>
    <w:rsid w:val="009D737C"/>
    <w:rsid w:val="009E02CF"/>
    <w:rsid w:val="009E03A0"/>
    <w:rsid w:val="009E1EA2"/>
    <w:rsid w:val="009E1FE3"/>
    <w:rsid w:val="009E36BD"/>
    <w:rsid w:val="009E3839"/>
    <w:rsid w:val="009E488E"/>
    <w:rsid w:val="009E51B7"/>
    <w:rsid w:val="009E6AFA"/>
    <w:rsid w:val="009E7FC0"/>
    <w:rsid w:val="009F2599"/>
    <w:rsid w:val="009F2E89"/>
    <w:rsid w:val="009F3FC2"/>
    <w:rsid w:val="009F4656"/>
    <w:rsid w:val="009F4F02"/>
    <w:rsid w:val="009F5513"/>
    <w:rsid w:val="009F5924"/>
    <w:rsid w:val="009F644C"/>
    <w:rsid w:val="009F6A0B"/>
    <w:rsid w:val="009F77D8"/>
    <w:rsid w:val="00A01207"/>
    <w:rsid w:val="00A02D66"/>
    <w:rsid w:val="00A039DA"/>
    <w:rsid w:val="00A03FBE"/>
    <w:rsid w:val="00A046E3"/>
    <w:rsid w:val="00A05E68"/>
    <w:rsid w:val="00A060CA"/>
    <w:rsid w:val="00A107BD"/>
    <w:rsid w:val="00A10DED"/>
    <w:rsid w:val="00A11965"/>
    <w:rsid w:val="00A134DD"/>
    <w:rsid w:val="00A139E8"/>
    <w:rsid w:val="00A14172"/>
    <w:rsid w:val="00A14BAD"/>
    <w:rsid w:val="00A1571F"/>
    <w:rsid w:val="00A16B71"/>
    <w:rsid w:val="00A210AF"/>
    <w:rsid w:val="00A2388E"/>
    <w:rsid w:val="00A24A6D"/>
    <w:rsid w:val="00A26A8F"/>
    <w:rsid w:val="00A27305"/>
    <w:rsid w:val="00A279D0"/>
    <w:rsid w:val="00A33BD9"/>
    <w:rsid w:val="00A33FC9"/>
    <w:rsid w:val="00A374FC"/>
    <w:rsid w:val="00A37A31"/>
    <w:rsid w:val="00A4320C"/>
    <w:rsid w:val="00A43FE7"/>
    <w:rsid w:val="00A47BB3"/>
    <w:rsid w:val="00A519E2"/>
    <w:rsid w:val="00A51B01"/>
    <w:rsid w:val="00A51E5F"/>
    <w:rsid w:val="00A55EE3"/>
    <w:rsid w:val="00A577DD"/>
    <w:rsid w:val="00A6009C"/>
    <w:rsid w:val="00A60D83"/>
    <w:rsid w:val="00A62B6D"/>
    <w:rsid w:val="00A6317B"/>
    <w:rsid w:val="00A67DAD"/>
    <w:rsid w:val="00A706FE"/>
    <w:rsid w:val="00A71848"/>
    <w:rsid w:val="00A72E49"/>
    <w:rsid w:val="00A7340A"/>
    <w:rsid w:val="00A74A28"/>
    <w:rsid w:val="00A7692F"/>
    <w:rsid w:val="00A77551"/>
    <w:rsid w:val="00A8272D"/>
    <w:rsid w:val="00A85259"/>
    <w:rsid w:val="00A9061F"/>
    <w:rsid w:val="00A911FC"/>
    <w:rsid w:val="00A9131C"/>
    <w:rsid w:val="00A916A9"/>
    <w:rsid w:val="00A92B81"/>
    <w:rsid w:val="00A94B0C"/>
    <w:rsid w:val="00A95FDE"/>
    <w:rsid w:val="00A968B8"/>
    <w:rsid w:val="00A977C6"/>
    <w:rsid w:val="00AA0AAB"/>
    <w:rsid w:val="00AA1F14"/>
    <w:rsid w:val="00AA1F67"/>
    <w:rsid w:val="00AA30B3"/>
    <w:rsid w:val="00AA6476"/>
    <w:rsid w:val="00AA6A0D"/>
    <w:rsid w:val="00AB00F5"/>
    <w:rsid w:val="00AB2455"/>
    <w:rsid w:val="00AB26FB"/>
    <w:rsid w:val="00AB28FE"/>
    <w:rsid w:val="00AB3262"/>
    <w:rsid w:val="00AB32B6"/>
    <w:rsid w:val="00AB393A"/>
    <w:rsid w:val="00AB726C"/>
    <w:rsid w:val="00AB7310"/>
    <w:rsid w:val="00AB747A"/>
    <w:rsid w:val="00AB789A"/>
    <w:rsid w:val="00AC00E5"/>
    <w:rsid w:val="00AC0CC3"/>
    <w:rsid w:val="00AC0ECE"/>
    <w:rsid w:val="00AC1AE5"/>
    <w:rsid w:val="00AC5271"/>
    <w:rsid w:val="00AC6789"/>
    <w:rsid w:val="00AC7936"/>
    <w:rsid w:val="00AD028A"/>
    <w:rsid w:val="00AD335C"/>
    <w:rsid w:val="00AD4143"/>
    <w:rsid w:val="00AD4DAA"/>
    <w:rsid w:val="00AD4E05"/>
    <w:rsid w:val="00AD67EF"/>
    <w:rsid w:val="00AD757D"/>
    <w:rsid w:val="00AE0ADC"/>
    <w:rsid w:val="00AE0CC9"/>
    <w:rsid w:val="00AE27CE"/>
    <w:rsid w:val="00AE56E1"/>
    <w:rsid w:val="00AE57C7"/>
    <w:rsid w:val="00AE5D3C"/>
    <w:rsid w:val="00AE7896"/>
    <w:rsid w:val="00AE7952"/>
    <w:rsid w:val="00AF33A8"/>
    <w:rsid w:val="00AF5D57"/>
    <w:rsid w:val="00AF61FE"/>
    <w:rsid w:val="00AF7D55"/>
    <w:rsid w:val="00B00B0C"/>
    <w:rsid w:val="00B024A8"/>
    <w:rsid w:val="00B0259C"/>
    <w:rsid w:val="00B027ED"/>
    <w:rsid w:val="00B02A42"/>
    <w:rsid w:val="00B02DED"/>
    <w:rsid w:val="00B0315E"/>
    <w:rsid w:val="00B03D52"/>
    <w:rsid w:val="00B03D80"/>
    <w:rsid w:val="00B04A83"/>
    <w:rsid w:val="00B04AA0"/>
    <w:rsid w:val="00B05515"/>
    <w:rsid w:val="00B05745"/>
    <w:rsid w:val="00B05891"/>
    <w:rsid w:val="00B06073"/>
    <w:rsid w:val="00B07DF3"/>
    <w:rsid w:val="00B10427"/>
    <w:rsid w:val="00B10EF3"/>
    <w:rsid w:val="00B115B5"/>
    <w:rsid w:val="00B123A3"/>
    <w:rsid w:val="00B13F64"/>
    <w:rsid w:val="00B145E9"/>
    <w:rsid w:val="00B15051"/>
    <w:rsid w:val="00B17C30"/>
    <w:rsid w:val="00B20C63"/>
    <w:rsid w:val="00B211A8"/>
    <w:rsid w:val="00B234FC"/>
    <w:rsid w:val="00B2435F"/>
    <w:rsid w:val="00B2625F"/>
    <w:rsid w:val="00B26E04"/>
    <w:rsid w:val="00B27824"/>
    <w:rsid w:val="00B27B16"/>
    <w:rsid w:val="00B306ED"/>
    <w:rsid w:val="00B308D4"/>
    <w:rsid w:val="00B3113F"/>
    <w:rsid w:val="00B311FC"/>
    <w:rsid w:val="00B327A3"/>
    <w:rsid w:val="00B32B42"/>
    <w:rsid w:val="00B3368D"/>
    <w:rsid w:val="00B33BFD"/>
    <w:rsid w:val="00B342D8"/>
    <w:rsid w:val="00B4020F"/>
    <w:rsid w:val="00B40979"/>
    <w:rsid w:val="00B4124F"/>
    <w:rsid w:val="00B449D3"/>
    <w:rsid w:val="00B46491"/>
    <w:rsid w:val="00B470C7"/>
    <w:rsid w:val="00B52118"/>
    <w:rsid w:val="00B5288F"/>
    <w:rsid w:val="00B52EB6"/>
    <w:rsid w:val="00B547E0"/>
    <w:rsid w:val="00B54FC9"/>
    <w:rsid w:val="00B57110"/>
    <w:rsid w:val="00B57C5D"/>
    <w:rsid w:val="00B60506"/>
    <w:rsid w:val="00B629E3"/>
    <w:rsid w:val="00B63287"/>
    <w:rsid w:val="00B63BBE"/>
    <w:rsid w:val="00B6774F"/>
    <w:rsid w:val="00B70A4B"/>
    <w:rsid w:val="00B70B4A"/>
    <w:rsid w:val="00B70F47"/>
    <w:rsid w:val="00B73654"/>
    <w:rsid w:val="00B73B46"/>
    <w:rsid w:val="00B748C1"/>
    <w:rsid w:val="00B74E84"/>
    <w:rsid w:val="00B755B1"/>
    <w:rsid w:val="00B758F3"/>
    <w:rsid w:val="00B759BF"/>
    <w:rsid w:val="00B77748"/>
    <w:rsid w:val="00B77C2F"/>
    <w:rsid w:val="00B802CD"/>
    <w:rsid w:val="00B8042E"/>
    <w:rsid w:val="00B80D78"/>
    <w:rsid w:val="00B81B07"/>
    <w:rsid w:val="00B81F76"/>
    <w:rsid w:val="00B84B79"/>
    <w:rsid w:val="00B85545"/>
    <w:rsid w:val="00B85CFF"/>
    <w:rsid w:val="00B86788"/>
    <w:rsid w:val="00B9070B"/>
    <w:rsid w:val="00B90F92"/>
    <w:rsid w:val="00B912D9"/>
    <w:rsid w:val="00B962C8"/>
    <w:rsid w:val="00B96923"/>
    <w:rsid w:val="00BA1030"/>
    <w:rsid w:val="00BA521D"/>
    <w:rsid w:val="00BA6E1C"/>
    <w:rsid w:val="00BA7F9D"/>
    <w:rsid w:val="00BB1D25"/>
    <w:rsid w:val="00BB3136"/>
    <w:rsid w:val="00BB47FD"/>
    <w:rsid w:val="00BB50FE"/>
    <w:rsid w:val="00BB5945"/>
    <w:rsid w:val="00BB59CA"/>
    <w:rsid w:val="00BB6306"/>
    <w:rsid w:val="00BC1EAA"/>
    <w:rsid w:val="00BC2010"/>
    <w:rsid w:val="00BC20B7"/>
    <w:rsid w:val="00BC50D4"/>
    <w:rsid w:val="00BC5810"/>
    <w:rsid w:val="00BD2AAE"/>
    <w:rsid w:val="00BD2ADA"/>
    <w:rsid w:val="00BD31A9"/>
    <w:rsid w:val="00BD6A46"/>
    <w:rsid w:val="00BE15F1"/>
    <w:rsid w:val="00BE2F33"/>
    <w:rsid w:val="00BE48FE"/>
    <w:rsid w:val="00BE4FA6"/>
    <w:rsid w:val="00BE6F1D"/>
    <w:rsid w:val="00BF0E93"/>
    <w:rsid w:val="00BF1C87"/>
    <w:rsid w:val="00BF23D2"/>
    <w:rsid w:val="00BF25C1"/>
    <w:rsid w:val="00BF4831"/>
    <w:rsid w:val="00BF67CD"/>
    <w:rsid w:val="00BF7711"/>
    <w:rsid w:val="00BF7985"/>
    <w:rsid w:val="00C012F1"/>
    <w:rsid w:val="00C02E0F"/>
    <w:rsid w:val="00C03C27"/>
    <w:rsid w:val="00C03DC7"/>
    <w:rsid w:val="00C05EDF"/>
    <w:rsid w:val="00C1630E"/>
    <w:rsid w:val="00C16B54"/>
    <w:rsid w:val="00C2154B"/>
    <w:rsid w:val="00C227AC"/>
    <w:rsid w:val="00C22EC3"/>
    <w:rsid w:val="00C246FF"/>
    <w:rsid w:val="00C25AE2"/>
    <w:rsid w:val="00C26634"/>
    <w:rsid w:val="00C32B77"/>
    <w:rsid w:val="00C32DC4"/>
    <w:rsid w:val="00C35060"/>
    <w:rsid w:val="00C364D4"/>
    <w:rsid w:val="00C3665B"/>
    <w:rsid w:val="00C3786E"/>
    <w:rsid w:val="00C40F80"/>
    <w:rsid w:val="00C41218"/>
    <w:rsid w:val="00C41407"/>
    <w:rsid w:val="00C428D9"/>
    <w:rsid w:val="00C44E00"/>
    <w:rsid w:val="00C44E3D"/>
    <w:rsid w:val="00C5013D"/>
    <w:rsid w:val="00C51C39"/>
    <w:rsid w:val="00C5203E"/>
    <w:rsid w:val="00C530DA"/>
    <w:rsid w:val="00C5442A"/>
    <w:rsid w:val="00C561BD"/>
    <w:rsid w:val="00C56F79"/>
    <w:rsid w:val="00C57846"/>
    <w:rsid w:val="00C60E64"/>
    <w:rsid w:val="00C61275"/>
    <w:rsid w:val="00C61EA6"/>
    <w:rsid w:val="00C62FF3"/>
    <w:rsid w:val="00C640EC"/>
    <w:rsid w:val="00C647B5"/>
    <w:rsid w:val="00C64BFF"/>
    <w:rsid w:val="00C669CC"/>
    <w:rsid w:val="00C67E20"/>
    <w:rsid w:val="00C7160B"/>
    <w:rsid w:val="00C71E16"/>
    <w:rsid w:val="00C76A55"/>
    <w:rsid w:val="00C77E29"/>
    <w:rsid w:val="00C80378"/>
    <w:rsid w:val="00C81207"/>
    <w:rsid w:val="00C873C7"/>
    <w:rsid w:val="00C87D2E"/>
    <w:rsid w:val="00C90C1C"/>
    <w:rsid w:val="00C91241"/>
    <w:rsid w:val="00C9201D"/>
    <w:rsid w:val="00C92584"/>
    <w:rsid w:val="00C926BB"/>
    <w:rsid w:val="00C94C9C"/>
    <w:rsid w:val="00CA05C7"/>
    <w:rsid w:val="00CA0B97"/>
    <w:rsid w:val="00CA1F65"/>
    <w:rsid w:val="00CA3057"/>
    <w:rsid w:val="00CA364D"/>
    <w:rsid w:val="00CA4529"/>
    <w:rsid w:val="00CA49D0"/>
    <w:rsid w:val="00CA4D1F"/>
    <w:rsid w:val="00CA5867"/>
    <w:rsid w:val="00CA7117"/>
    <w:rsid w:val="00CA7B30"/>
    <w:rsid w:val="00CB0F9B"/>
    <w:rsid w:val="00CB2207"/>
    <w:rsid w:val="00CB2FED"/>
    <w:rsid w:val="00CB3355"/>
    <w:rsid w:val="00CB3D50"/>
    <w:rsid w:val="00CB50A5"/>
    <w:rsid w:val="00CB56D3"/>
    <w:rsid w:val="00CB74D6"/>
    <w:rsid w:val="00CB7C83"/>
    <w:rsid w:val="00CC2474"/>
    <w:rsid w:val="00CC3367"/>
    <w:rsid w:val="00CC41B2"/>
    <w:rsid w:val="00CC5162"/>
    <w:rsid w:val="00CC63F7"/>
    <w:rsid w:val="00CC6600"/>
    <w:rsid w:val="00CC7DF8"/>
    <w:rsid w:val="00CD0080"/>
    <w:rsid w:val="00CD20A8"/>
    <w:rsid w:val="00CD25F8"/>
    <w:rsid w:val="00CD3492"/>
    <w:rsid w:val="00CD34F2"/>
    <w:rsid w:val="00CD35FC"/>
    <w:rsid w:val="00CD4520"/>
    <w:rsid w:val="00CD5C8D"/>
    <w:rsid w:val="00CD6E42"/>
    <w:rsid w:val="00CD7612"/>
    <w:rsid w:val="00CD7F74"/>
    <w:rsid w:val="00CE0666"/>
    <w:rsid w:val="00CE0BFC"/>
    <w:rsid w:val="00CE215D"/>
    <w:rsid w:val="00CE68FE"/>
    <w:rsid w:val="00CE7160"/>
    <w:rsid w:val="00CF0AF4"/>
    <w:rsid w:val="00CF15CB"/>
    <w:rsid w:val="00CF278C"/>
    <w:rsid w:val="00CF35AD"/>
    <w:rsid w:val="00CF5490"/>
    <w:rsid w:val="00CF6566"/>
    <w:rsid w:val="00CF6982"/>
    <w:rsid w:val="00CF769E"/>
    <w:rsid w:val="00D005B5"/>
    <w:rsid w:val="00D00FC1"/>
    <w:rsid w:val="00D01746"/>
    <w:rsid w:val="00D025AD"/>
    <w:rsid w:val="00D0395B"/>
    <w:rsid w:val="00D04228"/>
    <w:rsid w:val="00D0495F"/>
    <w:rsid w:val="00D04FCC"/>
    <w:rsid w:val="00D053CF"/>
    <w:rsid w:val="00D05E29"/>
    <w:rsid w:val="00D06DBB"/>
    <w:rsid w:val="00D07946"/>
    <w:rsid w:val="00D10FF6"/>
    <w:rsid w:val="00D11A72"/>
    <w:rsid w:val="00D12DA2"/>
    <w:rsid w:val="00D12EA8"/>
    <w:rsid w:val="00D13523"/>
    <w:rsid w:val="00D13C33"/>
    <w:rsid w:val="00D15942"/>
    <w:rsid w:val="00D16989"/>
    <w:rsid w:val="00D17C87"/>
    <w:rsid w:val="00D20EAF"/>
    <w:rsid w:val="00D2148A"/>
    <w:rsid w:val="00D229A5"/>
    <w:rsid w:val="00D22B85"/>
    <w:rsid w:val="00D244E5"/>
    <w:rsid w:val="00D26949"/>
    <w:rsid w:val="00D26D09"/>
    <w:rsid w:val="00D301D6"/>
    <w:rsid w:val="00D30267"/>
    <w:rsid w:val="00D32BB4"/>
    <w:rsid w:val="00D32E18"/>
    <w:rsid w:val="00D34AEB"/>
    <w:rsid w:val="00D359FD"/>
    <w:rsid w:val="00D362F0"/>
    <w:rsid w:val="00D36FA9"/>
    <w:rsid w:val="00D4075F"/>
    <w:rsid w:val="00D4658C"/>
    <w:rsid w:val="00D46960"/>
    <w:rsid w:val="00D46FCA"/>
    <w:rsid w:val="00D477D8"/>
    <w:rsid w:val="00D47BDC"/>
    <w:rsid w:val="00D47D61"/>
    <w:rsid w:val="00D51840"/>
    <w:rsid w:val="00D5215C"/>
    <w:rsid w:val="00D5497F"/>
    <w:rsid w:val="00D555B8"/>
    <w:rsid w:val="00D55E17"/>
    <w:rsid w:val="00D60B05"/>
    <w:rsid w:val="00D61B54"/>
    <w:rsid w:val="00D62D89"/>
    <w:rsid w:val="00D645E8"/>
    <w:rsid w:val="00D647D4"/>
    <w:rsid w:val="00D64C77"/>
    <w:rsid w:val="00D654FD"/>
    <w:rsid w:val="00D65501"/>
    <w:rsid w:val="00D65B71"/>
    <w:rsid w:val="00D65E6F"/>
    <w:rsid w:val="00D70BD1"/>
    <w:rsid w:val="00D72C1B"/>
    <w:rsid w:val="00D74480"/>
    <w:rsid w:val="00D766C7"/>
    <w:rsid w:val="00D76811"/>
    <w:rsid w:val="00D775F7"/>
    <w:rsid w:val="00D80451"/>
    <w:rsid w:val="00D808D5"/>
    <w:rsid w:val="00D81E03"/>
    <w:rsid w:val="00D835F5"/>
    <w:rsid w:val="00D8469E"/>
    <w:rsid w:val="00D84B92"/>
    <w:rsid w:val="00D85230"/>
    <w:rsid w:val="00D873DB"/>
    <w:rsid w:val="00D904E8"/>
    <w:rsid w:val="00D90B82"/>
    <w:rsid w:val="00D9240E"/>
    <w:rsid w:val="00D925D9"/>
    <w:rsid w:val="00D932DE"/>
    <w:rsid w:val="00D93563"/>
    <w:rsid w:val="00D9643C"/>
    <w:rsid w:val="00D96DCB"/>
    <w:rsid w:val="00D97768"/>
    <w:rsid w:val="00DA3B65"/>
    <w:rsid w:val="00DA4419"/>
    <w:rsid w:val="00DA51BA"/>
    <w:rsid w:val="00DA65C2"/>
    <w:rsid w:val="00DA67FC"/>
    <w:rsid w:val="00DB13E8"/>
    <w:rsid w:val="00DB1957"/>
    <w:rsid w:val="00DB4651"/>
    <w:rsid w:val="00DB52B2"/>
    <w:rsid w:val="00DB5568"/>
    <w:rsid w:val="00DB5A28"/>
    <w:rsid w:val="00DB6A18"/>
    <w:rsid w:val="00DC1480"/>
    <w:rsid w:val="00DC17C1"/>
    <w:rsid w:val="00DC273B"/>
    <w:rsid w:val="00DC2CF8"/>
    <w:rsid w:val="00DC5BA5"/>
    <w:rsid w:val="00DC5DCB"/>
    <w:rsid w:val="00DC5E8E"/>
    <w:rsid w:val="00DD203A"/>
    <w:rsid w:val="00DD5272"/>
    <w:rsid w:val="00DD5616"/>
    <w:rsid w:val="00DD638D"/>
    <w:rsid w:val="00DE03B8"/>
    <w:rsid w:val="00DE0681"/>
    <w:rsid w:val="00DE1CCD"/>
    <w:rsid w:val="00DE2040"/>
    <w:rsid w:val="00DE3789"/>
    <w:rsid w:val="00DE486D"/>
    <w:rsid w:val="00DE4BA4"/>
    <w:rsid w:val="00DE6E1D"/>
    <w:rsid w:val="00DE7428"/>
    <w:rsid w:val="00DE7789"/>
    <w:rsid w:val="00DE7CEB"/>
    <w:rsid w:val="00DE7F6B"/>
    <w:rsid w:val="00DF0B20"/>
    <w:rsid w:val="00DF23B4"/>
    <w:rsid w:val="00DF46F6"/>
    <w:rsid w:val="00DF51B3"/>
    <w:rsid w:val="00DF55F5"/>
    <w:rsid w:val="00DF6150"/>
    <w:rsid w:val="00DF6FC4"/>
    <w:rsid w:val="00DF7F84"/>
    <w:rsid w:val="00E007CC"/>
    <w:rsid w:val="00E0490F"/>
    <w:rsid w:val="00E05067"/>
    <w:rsid w:val="00E070B7"/>
    <w:rsid w:val="00E114E4"/>
    <w:rsid w:val="00E11C03"/>
    <w:rsid w:val="00E12081"/>
    <w:rsid w:val="00E148F3"/>
    <w:rsid w:val="00E15F8E"/>
    <w:rsid w:val="00E16620"/>
    <w:rsid w:val="00E20EB9"/>
    <w:rsid w:val="00E2190F"/>
    <w:rsid w:val="00E21BB5"/>
    <w:rsid w:val="00E21D53"/>
    <w:rsid w:val="00E23D71"/>
    <w:rsid w:val="00E2483A"/>
    <w:rsid w:val="00E25C0A"/>
    <w:rsid w:val="00E30906"/>
    <w:rsid w:val="00E319E0"/>
    <w:rsid w:val="00E32747"/>
    <w:rsid w:val="00E34E6E"/>
    <w:rsid w:val="00E354D1"/>
    <w:rsid w:val="00E35B4E"/>
    <w:rsid w:val="00E367FD"/>
    <w:rsid w:val="00E37B58"/>
    <w:rsid w:val="00E40509"/>
    <w:rsid w:val="00E41C99"/>
    <w:rsid w:val="00E428C7"/>
    <w:rsid w:val="00E431D1"/>
    <w:rsid w:val="00E443CA"/>
    <w:rsid w:val="00E45383"/>
    <w:rsid w:val="00E5008F"/>
    <w:rsid w:val="00E5024A"/>
    <w:rsid w:val="00E51C6D"/>
    <w:rsid w:val="00E51FA2"/>
    <w:rsid w:val="00E53E0C"/>
    <w:rsid w:val="00E54EEB"/>
    <w:rsid w:val="00E5590E"/>
    <w:rsid w:val="00E559B7"/>
    <w:rsid w:val="00E56212"/>
    <w:rsid w:val="00E572FA"/>
    <w:rsid w:val="00E601C4"/>
    <w:rsid w:val="00E610A7"/>
    <w:rsid w:val="00E6241E"/>
    <w:rsid w:val="00E63BB3"/>
    <w:rsid w:val="00E66B18"/>
    <w:rsid w:val="00E739F8"/>
    <w:rsid w:val="00E7681C"/>
    <w:rsid w:val="00E76844"/>
    <w:rsid w:val="00E768D6"/>
    <w:rsid w:val="00E77178"/>
    <w:rsid w:val="00E77D66"/>
    <w:rsid w:val="00E80749"/>
    <w:rsid w:val="00E80BEA"/>
    <w:rsid w:val="00E80CDA"/>
    <w:rsid w:val="00E811F1"/>
    <w:rsid w:val="00E813FD"/>
    <w:rsid w:val="00E831FA"/>
    <w:rsid w:val="00E83D67"/>
    <w:rsid w:val="00E84573"/>
    <w:rsid w:val="00E84B97"/>
    <w:rsid w:val="00E857C9"/>
    <w:rsid w:val="00E86407"/>
    <w:rsid w:val="00E865C5"/>
    <w:rsid w:val="00E8711B"/>
    <w:rsid w:val="00E87842"/>
    <w:rsid w:val="00E87ABB"/>
    <w:rsid w:val="00E93A34"/>
    <w:rsid w:val="00E944A5"/>
    <w:rsid w:val="00E9460C"/>
    <w:rsid w:val="00E94969"/>
    <w:rsid w:val="00E94F6F"/>
    <w:rsid w:val="00E97515"/>
    <w:rsid w:val="00EA0F8C"/>
    <w:rsid w:val="00EA12B1"/>
    <w:rsid w:val="00EA2237"/>
    <w:rsid w:val="00EA4E55"/>
    <w:rsid w:val="00EA4E58"/>
    <w:rsid w:val="00EA7BE4"/>
    <w:rsid w:val="00EB2952"/>
    <w:rsid w:val="00EB391A"/>
    <w:rsid w:val="00EB6082"/>
    <w:rsid w:val="00EC1F8E"/>
    <w:rsid w:val="00EC3FB7"/>
    <w:rsid w:val="00EC4248"/>
    <w:rsid w:val="00EC5B2A"/>
    <w:rsid w:val="00EC6594"/>
    <w:rsid w:val="00EC7CE9"/>
    <w:rsid w:val="00ED0BEB"/>
    <w:rsid w:val="00ED1453"/>
    <w:rsid w:val="00ED386F"/>
    <w:rsid w:val="00ED39C1"/>
    <w:rsid w:val="00ED6051"/>
    <w:rsid w:val="00ED6E3A"/>
    <w:rsid w:val="00EE1CC8"/>
    <w:rsid w:val="00EE44E0"/>
    <w:rsid w:val="00EE71A0"/>
    <w:rsid w:val="00EF0325"/>
    <w:rsid w:val="00EF0DC5"/>
    <w:rsid w:val="00EF1CD0"/>
    <w:rsid w:val="00EF3231"/>
    <w:rsid w:val="00EF5527"/>
    <w:rsid w:val="00EF5B81"/>
    <w:rsid w:val="00EF7880"/>
    <w:rsid w:val="00F00612"/>
    <w:rsid w:val="00F032FF"/>
    <w:rsid w:val="00F0714B"/>
    <w:rsid w:val="00F07C4C"/>
    <w:rsid w:val="00F1180B"/>
    <w:rsid w:val="00F148D4"/>
    <w:rsid w:val="00F158B6"/>
    <w:rsid w:val="00F16390"/>
    <w:rsid w:val="00F17E71"/>
    <w:rsid w:val="00F20018"/>
    <w:rsid w:val="00F222B1"/>
    <w:rsid w:val="00F22E39"/>
    <w:rsid w:val="00F23B7A"/>
    <w:rsid w:val="00F24D0B"/>
    <w:rsid w:val="00F2511F"/>
    <w:rsid w:val="00F2668D"/>
    <w:rsid w:val="00F26993"/>
    <w:rsid w:val="00F271BA"/>
    <w:rsid w:val="00F32D70"/>
    <w:rsid w:val="00F33139"/>
    <w:rsid w:val="00F341A8"/>
    <w:rsid w:val="00F36FB9"/>
    <w:rsid w:val="00F37061"/>
    <w:rsid w:val="00F376C0"/>
    <w:rsid w:val="00F37821"/>
    <w:rsid w:val="00F37A86"/>
    <w:rsid w:val="00F37F99"/>
    <w:rsid w:val="00F40518"/>
    <w:rsid w:val="00F4136D"/>
    <w:rsid w:val="00F4344D"/>
    <w:rsid w:val="00F443AB"/>
    <w:rsid w:val="00F446DE"/>
    <w:rsid w:val="00F44DA9"/>
    <w:rsid w:val="00F475A8"/>
    <w:rsid w:val="00F51B77"/>
    <w:rsid w:val="00F5386C"/>
    <w:rsid w:val="00F551E1"/>
    <w:rsid w:val="00F557EE"/>
    <w:rsid w:val="00F56E6B"/>
    <w:rsid w:val="00F56F05"/>
    <w:rsid w:val="00F6125E"/>
    <w:rsid w:val="00F62DF5"/>
    <w:rsid w:val="00F64660"/>
    <w:rsid w:val="00F6470A"/>
    <w:rsid w:val="00F664CC"/>
    <w:rsid w:val="00F707E7"/>
    <w:rsid w:val="00F71308"/>
    <w:rsid w:val="00F72488"/>
    <w:rsid w:val="00F725F5"/>
    <w:rsid w:val="00F73122"/>
    <w:rsid w:val="00F73C6E"/>
    <w:rsid w:val="00F74297"/>
    <w:rsid w:val="00F74417"/>
    <w:rsid w:val="00F74FDF"/>
    <w:rsid w:val="00F762F0"/>
    <w:rsid w:val="00F76448"/>
    <w:rsid w:val="00F806FB"/>
    <w:rsid w:val="00F818A4"/>
    <w:rsid w:val="00F818AB"/>
    <w:rsid w:val="00F82FA4"/>
    <w:rsid w:val="00F838B5"/>
    <w:rsid w:val="00F878ED"/>
    <w:rsid w:val="00F90F69"/>
    <w:rsid w:val="00F912E2"/>
    <w:rsid w:val="00F92643"/>
    <w:rsid w:val="00F93A78"/>
    <w:rsid w:val="00F95DF1"/>
    <w:rsid w:val="00F96305"/>
    <w:rsid w:val="00F96CCC"/>
    <w:rsid w:val="00FA1239"/>
    <w:rsid w:val="00FA13A2"/>
    <w:rsid w:val="00FA2010"/>
    <w:rsid w:val="00FA3B5C"/>
    <w:rsid w:val="00FA5838"/>
    <w:rsid w:val="00FA58D5"/>
    <w:rsid w:val="00FA6840"/>
    <w:rsid w:val="00FA6FE6"/>
    <w:rsid w:val="00FA7D54"/>
    <w:rsid w:val="00FA7F7F"/>
    <w:rsid w:val="00FB087A"/>
    <w:rsid w:val="00FB0FB6"/>
    <w:rsid w:val="00FB192F"/>
    <w:rsid w:val="00FB2F40"/>
    <w:rsid w:val="00FB4226"/>
    <w:rsid w:val="00FB7D8F"/>
    <w:rsid w:val="00FC0095"/>
    <w:rsid w:val="00FC1BE0"/>
    <w:rsid w:val="00FC2AF1"/>
    <w:rsid w:val="00FC3C0D"/>
    <w:rsid w:val="00FC4CCE"/>
    <w:rsid w:val="00FC5497"/>
    <w:rsid w:val="00FC70F0"/>
    <w:rsid w:val="00FC7F04"/>
    <w:rsid w:val="00FD0B5E"/>
    <w:rsid w:val="00FD310A"/>
    <w:rsid w:val="00FD3FAF"/>
    <w:rsid w:val="00FD402E"/>
    <w:rsid w:val="00FD51F6"/>
    <w:rsid w:val="00FD7110"/>
    <w:rsid w:val="00FD778A"/>
    <w:rsid w:val="00FD7BBE"/>
    <w:rsid w:val="00FE003C"/>
    <w:rsid w:val="00FE04D0"/>
    <w:rsid w:val="00FE1452"/>
    <w:rsid w:val="00FE440C"/>
    <w:rsid w:val="00FE661B"/>
    <w:rsid w:val="00FE7768"/>
    <w:rsid w:val="00FE79E9"/>
    <w:rsid w:val="00FE7B96"/>
    <w:rsid w:val="00FF0795"/>
    <w:rsid w:val="00FF2029"/>
    <w:rsid w:val="00FF29D4"/>
    <w:rsid w:val="00FF534E"/>
    <w:rsid w:val="00FF5476"/>
    <w:rsid w:val="0124A3DB"/>
    <w:rsid w:val="015A5313"/>
    <w:rsid w:val="01726B40"/>
    <w:rsid w:val="01A47FA8"/>
    <w:rsid w:val="03467758"/>
    <w:rsid w:val="03DD4C0E"/>
    <w:rsid w:val="04199BD4"/>
    <w:rsid w:val="067D26A0"/>
    <w:rsid w:val="06B95239"/>
    <w:rsid w:val="07604AF2"/>
    <w:rsid w:val="08969196"/>
    <w:rsid w:val="08F181DD"/>
    <w:rsid w:val="09BE6804"/>
    <w:rsid w:val="0ACC2FBB"/>
    <w:rsid w:val="0B713666"/>
    <w:rsid w:val="0B73E8BD"/>
    <w:rsid w:val="0C594514"/>
    <w:rsid w:val="0C6F3FB3"/>
    <w:rsid w:val="0CBAC3AC"/>
    <w:rsid w:val="0E1B7E83"/>
    <w:rsid w:val="114D4916"/>
    <w:rsid w:val="115D7C9D"/>
    <w:rsid w:val="1192183E"/>
    <w:rsid w:val="14CB327E"/>
    <w:rsid w:val="1542F15A"/>
    <w:rsid w:val="170F1CD4"/>
    <w:rsid w:val="1A60A691"/>
    <w:rsid w:val="1B87BD14"/>
    <w:rsid w:val="1EB1AC28"/>
    <w:rsid w:val="1F06D939"/>
    <w:rsid w:val="20F3762E"/>
    <w:rsid w:val="23332C4D"/>
    <w:rsid w:val="2339BDC1"/>
    <w:rsid w:val="257E201D"/>
    <w:rsid w:val="25D66486"/>
    <w:rsid w:val="27E03292"/>
    <w:rsid w:val="28D4940A"/>
    <w:rsid w:val="2B73D757"/>
    <w:rsid w:val="2C51EBB5"/>
    <w:rsid w:val="2DAD1D96"/>
    <w:rsid w:val="2DC3D427"/>
    <w:rsid w:val="2E5E7EF3"/>
    <w:rsid w:val="2EF1DF26"/>
    <w:rsid w:val="2FFCE24D"/>
    <w:rsid w:val="30153FEB"/>
    <w:rsid w:val="314982DC"/>
    <w:rsid w:val="33A5E6DB"/>
    <w:rsid w:val="33D37E3E"/>
    <w:rsid w:val="34EEDC54"/>
    <w:rsid w:val="36AC06C4"/>
    <w:rsid w:val="36FB6A29"/>
    <w:rsid w:val="38AB5ADD"/>
    <w:rsid w:val="39B52C9F"/>
    <w:rsid w:val="3A38F7EB"/>
    <w:rsid w:val="3E35EA70"/>
    <w:rsid w:val="3E697515"/>
    <w:rsid w:val="3E7CA972"/>
    <w:rsid w:val="412D9500"/>
    <w:rsid w:val="41F84954"/>
    <w:rsid w:val="45A19F1D"/>
    <w:rsid w:val="46D096E7"/>
    <w:rsid w:val="4781E807"/>
    <w:rsid w:val="482BA739"/>
    <w:rsid w:val="48981EDA"/>
    <w:rsid w:val="48C3D630"/>
    <w:rsid w:val="48F4CC74"/>
    <w:rsid w:val="496B180A"/>
    <w:rsid w:val="4A621B28"/>
    <w:rsid w:val="4ACBA811"/>
    <w:rsid w:val="4B364140"/>
    <w:rsid w:val="4B3B2A9F"/>
    <w:rsid w:val="4D18A511"/>
    <w:rsid w:val="4F7DC3FB"/>
    <w:rsid w:val="4F89E6BA"/>
    <w:rsid w:val="51FB5895"/>
    <w:rsid w:val="548C6D32"/>
    <w:rsid w:val="552FBC60"/>
    <w:rsid w:val="55308F7B"/>
    <w:rsid w:val="5550AC48"/>
    <w:rsid w:val="55B18FE8"/>
    <w:rsid w:val="561DA4CC"/>
    <w:rsid w:val="57233307"/>
    <w:rsid w:val="57D19332"/>
    <w:rsid w:val="584D5254"/>
    <w:rsid w:val="599B202A"/>
    <w:rsid w:val="5AE38630"/>
    <w:rsid w:val="5C5D4655"/>
    <w:rsid w:val="5C85DA41"/>
    <w:rsid w:val="5CE79437"/>
    <w:rsid w:val="5D8BCFFE"/>
    <w:rsid w:val="5EEAB26C"/>
    <w:rsid w:val="5F8DA705"/>
    <w:rsid w:val="622FF770"/>
    <w:rsid w:val="6257D13A"/>
    <w:rsid w:val="6432D492"/>
    <w:rsid w:val="66369281"/>
    <w:rsid w:val="669B3C13"/>
    <w:rsid w:val="66CB1DC0"/>
    <w:rsid w:val="6CA883F0"/>
    <w:rsid w:val="6CD1D4D9"/>
    <w:rsid w:val="6CD91A3F"/>
    <w:rsid w:val="6CE53797"/>
    <w:rsid w:val="6EB43BDA"/>
    <w:rsid w:val="6F8377C0"/>
    <w:rsid w:val="6FCB7A8F"/>
    <w:rsid w:val="75C4E89E"/>
    <w:rsid w:val="75F9018D"/>
    <w:rsid w:val="762C209A"/>
    <w:rsid w:val="778C39CB"/>
    <w:rsid w:val="7AB90F48"/>
    <w:rsid w:val="7ABD896C"/>
    <w:rsid w:val="7AF30E40"/>
    <w:rsid w:val="7B734450"/>
    <w:rsid w:val="7BEC6967"/>
    <w:rsid w:val="7CBE64A7"/>
    <w:rsid w:val="7D2E38F4"/>
    <w:rsid w:val="7D70EA71"/>
    <w:rsid w:val="7D95EF95"/>
    <w:rsid w:val="7E30F418"/>
    <w:rsid w:val="7EC1B78C"/>
    <w:rsid w:val="7F643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70792"/>
  <w15:docId w15:val="{2D71D984-B699-E144-B45B-0C4DC0A9A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173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56E6B"/>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6E6B"/>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4074CF"/>
    <w:rPr>
      <w:color w:val="0563C1" w:themeColor="hyperlink"/>
      <w:u w:val="single"/>
    </w:rPr>
  </w:style>
  <w:style w:type="character" w:styleId="UnresolvedMention">
    <w:name w:val="Unresolved Mention"/>
    <w:basedOn w:val="DefaultParagraphFont"/>
    <w:uiPriority w:val="99"/>
    <w:semiHidden/>
    <w:unhideWhenUsed/>
    <w:rsid w:val="004074CF"/>
    <w:rPr>
      <w:color w:val="605E5C"/>
      <w:shd w:val="clear" w:color="auto" w:fill="E1DFDD"/>
    </w:rPr>
  </w:style>
  <w:style w:type="character" w:styleId="CommentReference">
    <w:name w:val="annotation reference"/>
    <w:basedOn w:val="DefaultParagraphFont"/>
    <w:uiPriority w:val="99"/>
    <w:semiHidden/>
    <w:unhideWhenUsed/>
    <w:rsid w:val="001B57C0"/>
    <w:rPr>
      <w:sz w:val="16"/>
      <w:szCs w:val="16"/>
    </w:rPr>
  </w:style>
  <w:style w:type="paragraph" w:styleId="CommentText">
    <w:name w:val="annotation text"/>
    <w:basedOn w:val="Normal"/>
    <w:link w:val="CommentTextChar"/>
    <w:uiPriority w:val="99"/>
    <w:unhideWhenUsed/>
    <w:rsid w:val="001B57C0"/>
    <w:pPr>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1B57C0"/>
    <w:rPr>
      <w:sz w:val="20"/>
      <w:szCs w:val="20"/>
    </w:rPr>
  </w:style>
  <w:style w:type="paragraph" w:styleId="CommentSubject">
    <w:name w:val="annotation subject"/>
    <w:basedOn w:val="CommentText"/>
    <w:next w:val="CommentText"/>
    <w:link w:val="CommentSubjectChar"/>
    <w:uiPriority w:val="99"/>
    <w:semiHidden/>
    <w:unhideWhenUsed/>
    <w:rsid w:val="001B57C0"/>
    <w:rPr>
      <w:b/>
      <w:bCs/>
    </w:rPr>
  </w:style>
  <w:style w:type="character" w:customStyle="1" w:styleId="CommentSubjectChar">
    <w:name w:val="Comment Subject Char"/>
    <w:basedOn w:val="CommentTextChar"/>
    <w:link w:val="CommentSubject"/>
    <w:uiPriority w:val="99"/>
    <w:semiHidden/>
    <w:rsid w:val="001B57C0"/>
    <w:rPr>
      <w:b/>
      <w:bCs/>
      <w:sz w:val="20"/>
      <w:szCs w:val="20"/>
    </w:rPr>
  </w:style>
  <w:style w:type="paragraph" w:styleId="HTMLPreformatted">
    <w:name w:val="HTML Preformatted"/>
    <w:basedOn w:val="Normal"/>
    <w:link w:val="HTMLPreformattedChar"/>
    <w:uiPriority w:val="99"/>
    <w:semiHidden/>
    <w:unhideWhenUsed/>
    <w:rsid w:val="00E572FA"/>
    <w:rPr>
      <w:rFonts w:ascii="Consolas" w:eastAsiaTheme="minorHAnsi" w:hAnsi="Consolas" w:cs="Consolas"/>
      <w:sz w:val="20"/>
      <w:szCs w:val="20"/>
    </w:rPr>
  </w:style>
  <w:style w:type="character" w:customStyle="1" w:styleId="HTMLPreformattedChar">
    <w:name w:val="HTML Preformatted Char"/>
    <w:basedOn w:val="DefaultParagraphFont"/>
    <w:link w:val="HTMLPreformatted"/>
    <w:uiPriority w:val="99"/>
    <w:semiHidden/>
    <w:rsid w:val="00E572FA"/>
    <w:rPr>
      <w:rFonts w:ascii="Consolas" w:hAnsi="Consolas" w:cs="Consolas"/>
      <w:sz w:val="20"/>
      <w:szCs w:val="20"/>
    </w:rPr>
  </w:style>
  <w:style w:type="paragraph" w:styleId="FootnoteText">
    <w:name w:val="footnote text"/>
    <w:basedOn w:val="Normal"/>
    <w:link w:val="FootnoteTextChar"/>
    <w:uiPriority w:val="99"/>
    <w:semiHidden/>
    <w:unhideWhenUsed/>
    <w:rsid w:val="00C32DC4"/>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C32DC4"/>
    <w:rPr>
      <w:sz w:val="20"/>
      <w:szCs w:val="20"/>
    </w:rPr>
  </w:style>
  <w:style w:type="character" w:styleId="FootnoteReference">
    <w:name w:val="footnote reference"/>
    <w:basedOn w:val="DefaultParagraphFont"/>
    <w:uiPriority w:val="99"/>
    <w:semiHidden/>
    <w:unhideWhenUsed/>
    <w:rsid w:val="00C32DC4"/>
    <w:rPr>
      <w:vertAlign w:val="superscript"/>
    </w:rPr>
  </w:style>
  <w:style w:type="paragraph" w:customStyle="1" w:styleId="LO-normal">
    <w:name w:val="LO-normal"/>
    <w:qFormat/>
    <w:rsid w:val="00C32DC4"/>
    <w:pPr>
      <w:suppressAutoHyphens/>
      <w:spacing w:after="0" w:line="240" w:lineRule="auto"/>
    </w:pPr>
    <w:rPr>
      <w:rFonts w:ascii="Liberation Serif" w:eastAsia="Liberation Serif" w:hAnsi="Liberation Serif" w:cs="Liberation Serif"/>
      <w:sz w:val="24"/>
      <w:szCs w:val="24"/>
      <w:lang w:eastAsia="zh-CN" w:bidi="hi-IN"/>
    </w:rPr>
  </w:style>
  <w:style w:type="paragraph" w:styleId="EndnoteText">
    <w:name w:val="endnote text"/>
    <w:basedOn w:val="Normal"/>
    <w:link w:val="EndnoteTextChar"/>
    <w:uiPriority w:val="99"/>
    <w:semiHidden/>
    <w:unhideWhenUsed/>
    <w:rsid w:val="00924075"/>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924075"/>
    <w:rPr>
      <w:sz w:val="20"/>
      <w:szCs w:val="20"/>
    </w:rPr>
  </w:style>
  <w:style w:type="character" w:styleId="EndnoteReference">
    <w:name w:val="endnote reference"/>
    <w:basedOn w:val="DefaultParagraphFont"/>
    <w:uiPriority w:val="99"/>
    <w:semiHidden/>
    <w:unhideWhenUsed/>
    <w:rsid w:val="00924075"/>
    <w:rPr>
      <w:vertAlign w:val="superscript"/>
    </w:rPr>
  </w:style>
  <w:style w:type="paragraph" w:styleId="Bibliography">
    <w:name w:val="Bibliography"/>
    <w:basedOn w:val="Normal"/>
    <w:next w:val="Normal"/>
    <w:uiPriority w:val="37"/>
    <w:unhideWhenUsed/>
    <w:rsid w:val="000859C3"/>
    <w:pPr>
      <w:tabs>
        <w:tab w:val="left" w:pos="380"/>
      </w:tabs>
      <w:spacing w:after="240"/>
      <w:ind w:left="384" w:hanging="384"/>
    </w:pPr>
    <w:rPr>
      <w:rFonts w:asciiTheme="minorHAnsi" w:eastAsiaTheme="minorHAnsi" w:hAnsiTheme="minorHAnsi" w:cstheme="minorBidi"/>
      <w:sz w:val="22"/>
      <w:szCs w:val="22"/>
    </w:rPr>
  </w:style>
  <w:style w:type="paragraph" w:styleId="Revision">
    <w:name w:val="Revision"/>
    <w:hidden/>
    <w:uiPriority w:val="99"/>
    <w:semiHidden/>
    <w:rsid w:val="00881027"/>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39"/>
    <w:rsid w:val="00160A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0C1C"/>
    <w:pPr>
      <w:ind w:left="720"/>
      <w:contextualSpacing/>
    </w:pPr>
  </w:style>
  <w:style w:type="character" w:styleId="FollowedHyperlink">
    <w:name w:val="FollowedHyperlink"/>
    <w:basedOn w:val="DefaultParagraphFont"/>
    <w:uiPriority w:val="99"/>
    <w:semiHidden/>
    <w:unhideWhenUsed/>
    <w:rsid w:val="00857422"/>
    <w:rPr>
      <w:color w:val="954F72" w:themeColor="followedHyperlink"/>
      <w:u w:val="single"/>
    </w:rPr>
  </w:style>
  <w:style w:type="paragraph" w:styleId="Footer">
    <w:name w:val="footer"/>
    <w:basedOn w:val="Normal"/>
    <w:link w:val="FooterChar"/>
    <w:uiPriority w:val="99"/>
    <w:unhideWhenUsed/>
    <w:rsid w:val="005E4ED8"/>
    <w:pPr>
      <w:tabs>
        <w:tab w:val="center" w:pos="4680"/>
        <w:tab w:val="right" w:pos="9360"/>
      </w:tabs>
    </w:pPr>
  </w:style>
  <w:style w:type="character" w:customStyle="1" w:styleId="FooterChar">
    <w:name w:val="Footer Char"/>
    <w:basedOn w:val="DefaultParagraphFont"/>
    <w:link w:val="Footer"/>
    <w:uiPriority w:val="99"/>
    <w:rsid w:val="005E4ED8"/>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5E4ED8"/>
  </w:style>
  <w:style w:type="character" w:styleId="LineNumber">
    <w:name w:val="line number"/>
    <w:basedOn w:val="DefaultParagraphFont"/>
    <w:uiPriority w:val="99"/>
    <w:semiHidden/>
    <w:unhideWhenUsed/>
    <w:rsid w:val="00547AFA"/>
  </w:style>
  <w:style w:type="paragraph" w:customStyle="1" w:styleId="EndNoteBibliographyTitle">
    <w:name w:val="EndNote Bibliography Title"/>
    <w:basedOn w:val="Normal"/>
    <w:link w:val="EndNoteBibliographyTitleChar"/>
    <w:rsid w:val="00676CEA"/>
    <w:pPr>
      <w:jc w:val="center"/>
    </w:pPr>
  </w:style>
  <w:style w:type="character" w:customStyle="1" w:styleId="EndNoteBibliographyTitleChar">
    <w:name w:val="EndNote Bibliography Title Char"/>
    <w:basedOn w:val="DefaultParagraphFont"/>
    <w:link w:val="EndNoteBibliographyTitle"/>
    <w:rsid w:val="00676CEA"/>
    <w:rPr>
      <w:rFonts w:ascii="Times New Roman" w:eastAsia="Times New Roman" w:hAnsi="Times New Roman" w:cs="Times New Roman"/>
      <w:sz w:val="24"/>
      <w:szCs w:val="24"/>
    </w:rPr>
  </w:style>
  <w:style w:type="paragraph" w:customStyle="1" w:styleId="EndNoteBibliography">
    <w:name w:val="EndNote Bibliography"/>
    <w:basedOn w:val="Normal"/>
    <w:link w:val="EndNoteBibliographyChar"/>
    <w:rsid w:val="00676CEA"/>
  </w:style>
  <w:style w:type="character" w:customStyle="1" w:styleId="EndNoteBibliographyChar">
    <w:name w:val="EndNote Bibliography Char"/>
    <w:basedOn w:val="DefaultParagraphFont"/>
    <w:link w:val="EndNoteBibliography"/>
    <w:rsid w:val="00676CE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C3938"/>
    <w:pPr>
      <w:spacing w:before="100" w:beforeAutospacing="1" w:after="100" w:afterAutospacing="1"/>
    </w:pPr>
  </w:style>
  <w:style w:type="paragraph" w:customStyle="1" w:styleId="u-mb-16">
    <w:name w:val="u-mb-16"/>
    <w:basedOn w:val="Normal"/>
    <w:uiPriority w:val="1"/>
    <w:rsid w:val="7D70EA71"/>
    <w:pPr>
      <w:spacing w:beforeAutospacing="1" w:afterAutospacing="1"/>
    </w:pPr>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2703512">
      <w:bodyDiv w:val="1"/>
      <w:marLeft w:val="0"/>
      <w:marRight w:val="0"/>
      <w:marTop w:val="0"/>
      <w:marBottom w:val="0"/>
      <w:divBdr>
        <w:top w:val="none" w:sz="0" w:space="0" w:color="auto"/>
        <w:left w:val="none" w:sz="0" w:space="0" w:color="auto"/>
        <w:bottom w:val="none" w:sz="0" w:space="0" w:color="auto"/>
        <w:right w:val="none" w:sz="0" w:space="0" w:color="auto"/>
      </w:divBdr>
    </w:div>
    <w:div w:id="135531895">
      <w:bodyDiv w:val="1"/>
      <w:marLeft w:val="0"/>
      <w:marRight w:val="0"/>
      <w:marTop w:val="0"/>
      <w:marBottom w:val="0"/>
      <w:divBdr>
        <w:top w:val="none" w:sz="0" w:space="0" w:color="auto"/>
        <w:left w:val="none" w:sz="0" w:space="0" w:color="auto"/>
        <w:bottom w:val="none" w:sz="0" w:space="0" w:color="auto"/>
        <w:right w:val="none" w:sz="0" w:space="0" w:color="auto"/>
      </w:divBdr>
    </w:div>
    <w:div w:id="138084457">
      <w:bodyDiv w:val="1"/>
      <w:marLeft w:val="0"/>
      <w:marRight w:val="0"/>
      <w:marTop w:val="0"/>
      <w:marBottom w:val="0"/>
      <w:divBdr>
        <w:top w:val="none" w:sz="0" w:space="0" w:color="auto"/>
        <w:left w:val="none" w:sz="0" w:space="0" w:color="auto"/>
        <w:bottom w:val="none" w:sz="0" w:space="0" w:color="auto"/>
        <w:right w:val="none" w:sz="0" w:space="0" w:color="auto"/>
      </w:divBdr>
    </w:div>
    <w:div w:id="449128568">
      <w:bodyDiv w:val="1"/>
      <w:marLeft w:val="0"/>
      <w:marRight w:val="0"/>
      <w:marTop w:val="0"/>
      <w:marBottom w:val="0"/>
      <w:divBdr>
        <w:top w:val="none" w:sz="0" w:space="0" w:color="auto"/>
        <w:left w:val="none" w:sz="0" w:space="0" w:color="auto"/>
        <w:bottom w:val="none" w:sz="0" w:space="0" w:color="auto"/>
        <w:right w:val="none" w:sz="0" w:space="0" w:color="auto"/>
      </w:divBdr>
    </w:div>
    <w:div w:id="517357234">
      <w:bodyDiv w:val="1"/>
      <w:marLeft w:val="0"/>
      <w:marRight w:val="0"/>
      <w:marTop w:val="0"/>
      <w:marBottom w:val="0"/>
      <w:divBdr>
        <w:top w:val="none" w:sz="0" w:space="0" w:color="auto"/>
        <w:left w:val="none" w:sz="0" w:space="0" w:color="auto"/>
        <w:bottom w:val="none" w:sz="0" w:space="0" w:color="auto"/>
        <w:right w:val="none" w:sz="0" w:space="0" w:color="auto"/>
      </w:divBdr>
    </w:div>
    <w:div w:id="545263945">
      <w:bodyDiv w:val="1"/>
      <w:marLeft w:val="0"/>
      <w:marRight w:val="0"/>
      <w:marTop w:val="0"/>
      <w:marBottom w:val="0"/>
      <w:divBdr>
        <w:top w:val="none" w:sz="0" w:space="0" w:color="auto"/>
        <w:left w:val="none" w:sz="0" w:space="0" w:color="auto"/>
        <w:bottom w:val="none" w:sz="0" w:space="0" w:color="auto"/>
        <w:right w:val="none" w:sz="0" w:space="0" w:color="auto"/>
      </w:divBdr>
    </w:div>
    <w:div w:id="548151829">
      <w:bodyDiv w:val="1"/>
      <w:marLeft w:val="0"/>
      <w:marRight w:val="0"/>
      <w:marTop w:val="0"/>
      <w:marBottom w:val="0"/>
      <w:divBdr>
        <w:top w:val="none" w:sz="0" w:space="0" w:color="auto"/>
        <w:left w:val="none" w:sz="0" w:space="0" w:color="auto"/>
        <w:bottom w:val="none" w:sz="0" w:space="0" w:color="auto"/>
        <w:right w:val="none" w:sz="0" w:space="0" w:color="auto"/>
      </w:divBdr>
    </w:div>
    <w:div w:id="624506955">
      <w:bodyDiv w:val="1"/>
      <w:marLeft w:val="0"/>
      <w:marRight w:val="0"/>
      <w:marTop w:val="0"/>
      <w:marBottom w:val="0"/>
      <w:divBdr>
        <w:top w:val="none" w:sz="0" w:space="0" w:color="auto"/>
        <w:left w:val="none" w:sz="0" w:space="0" w:color="auto"/>
        <w:bottom w:val="none" w:sz="0" w:space="0" w:color="auto"/>
        <w:right w:val="none" w:sz="0" w:space="0" w:color="auto"/>
      </w:divBdr>
      <w:divsChild>
        <w:div w:id="19597530">
          <w:marLeft w:val="0"/>
          <w:marRight w:val="0"/>
          <w:marTop w:val="0"/>
          <w:marBottom w:val="0"/>
          <w:divBdr>
            <w:top w:val="none" w:sz="0" w:space="0" w:color="auto"/>
            <w:left w:val="none" w:sz="0" w:space="0" w:color="auto"/>
            <w:bottom w:val="none" w:sz="0" w:space="0" w:color="auto"/>
            <w:right w:val="none" w:sz="0" w:space="0" w:color="auto"/>
          </w:divBdr>
        </w:div>
        <w:div w:id="796949272">
          <w:marLeft w:val="0"/>
          <w:marRight w:val="0"/>
          <w:marTop w:val="0"/>
          <w:marBottom w:val="240"/>
          <w:divBdr>
            <w:top w:val="none" w:sz="0" w:space="0" w:color="auto"/>
            <w:left w:val="none" w:sz="0" w:space="0" w:color="auto"/>
            <w:bottom w:val="none" w:sz="0" w:space="0" w:color="auto"/>
            <w:right w:val="none" w:sz="0" w:space="0" w:color="auto"/>
          </w:divBdr>
        </w:div>
      </w:divsChild>
    </w:div>
    <w:div w:id="629746517">
      <w:bodyDiv w:val="1"/>
      <w:marLeft w:val="0"/>
      <w:marRight w:val="0"/>
      <w:marTop w:val="0"/>
      <w:marBottom w:val="0"/>
      <w:divBdr>
        <w:top w:val="none" w:sz="0" w:space="0" w:color="auto"/>
        <w:left w:val="none" w:sz="0" w:space="0" w:color="auto"/>
        <w:bottom w:val="none" w:sz="0" w:space="0" w:color="auto"/>
        <w:right w:val="none" w:sz="0" w:space="0" w:color="auto"/>
      </w:divBdr>
    </w:div>
    <w:div w:id="693266034">
      <w:bodyDiv w:val="1"/>
      <w:marLeft w:val="0"/>
      <w:marRight w:val="0"/>
      <w:marTop w:val="0"/>
      <w:marBottom w:val="0"/>
      <w:divBdr>
        <w:top w:val="none" w:sz="0" w:space="0" w:color="auto"/>
        <w:left w:val="none" w:sz="0" w:space="0" w:color="auto"/>
        <w:bottom w:val="none" w:sz="0" w:space="0" w:color="auto"/>
        <w:right w:val="none" w:sz="0" w:space="0" w:color="auto"/>
      </w:divBdr>
    </w:div>
    <w:div w:id="764810706">
      <w:bodyDiv w:val="1"/>
      <w:marLeft w:val="0"/>
      <w:marRight w:val="0"/>
      <w:marTop w:val="0"/>
      <w:marBottom w:val="0"/>
      <w:divBdr>
        <w:top w:val="none" w:sz="0" w:space="0" w:color="auto"/>
        <w:left w:val="none" w:sz="0" w:space="0" w:color="auto"/>
        <w:bottom w:val="none" w:sz="0" w:space="0" w:color="auto"/>
        <w:right w:val="none" w:sz="0" w:space="0" w:color="auto"/>
      </w:divBdr>
    </w:div>
    <w:div w:id="933392108">
      <w:bodyDiv w:val="1"/>
      <w:marLeft w:val="0"/>
      <w:marRight w:val="0"/>
      <w:marTop w:val="0"/>
      <w:marBottom w:val="0"/>
      <w:divBdr>
        <w:top w:val="none" w:sz="0" w:space="0" w:color="auto"/>
        <w:left w:val="none" w:sz="0" w:space="0" w:color="auto"/>
        <w:bottom w:val="none" w:sz="0" w:space="0" w:color="auto"/>
        <w:right w:val="none" w:sz="0" w:space="0" w:color="auto"/>
      </w:divBdr>
    </w:div>
    <w:div w:id="947466220">
      <w:bodyDiv w:val="1"/>
      <w:marLeft w:val="0"/>
      <w:marRight w:val="0"/>
      <w:marTop w:val="0"/>
      <w:marBottom w:val="0"/>
      <w:divBdr>
        <w:top w:val="none" w:sz="0" w:space="0" w:color="auto"/>
        <w:left w:val="none" w:sz="0" w:space="0" w:color="auto"/>
        <w:bottom w:val="none" w:sz="0" w:space="0" w:color="auto"/>
        <w:right w:val="none" w:sz="0" w:space="0" w:color="auto"/>
      </w:divBdr>
      <w:divsChild>
        <w:div w:id="147134232">
          <w:marLeft w:val="0"/>
          <w:marRight w:val="0"/>
          <w:marTop w:val="0"/>
          <w:marBottom w:val="240"/>
          <w:divBdr>
            <w:top w:val="none" w:sz="0" w:space="0" w:color="auto"/>
            <w:left w:val="none" w:sz="0" w:space="0" w:color="auto"/>
            <w:bottom w:val="none" w:sz="0" w:space="0" w:color="auto"/>
            <w:right w:val="none" w:sz="0" w:space="0" w:color="auto"/>
          </w:divBdr>
        </w:div>
        <w:div w:id="221016484">
          <w:marLeft w:val="0"/>
          <w:marRight w:val="0"/>
          <w:marTop w:val="0"/>
          <w:marBottom w:val="0"/>
          <w:divBdr>
            <w:top w:val="none" w:sz="0" w:space="0" w:color="auto"/>
            <w:left w:val="none" w:sz="0" w:space="0" w:color="auto"/>
            <w:bottom w:val="none" w:sz="0" w:space="0" w:color="auto"/>
            <w:right w:val="none" w:sz="0" w:space="0" w:color="auto"/>
          </w:divBdr>
        </w:div>
      </w:divsChild>
    </w:div>
    <w:div w:id="995886725">
      <w:bodyDiv w:val="1"/>
      <w:marLeft w:val="0"/>
      <w:marRight w:val="0"/>
      <w:marTop w:val="0"/>
      <w:marBottom w:val="0"/>
      <w:divBdr>
        <w:top w:val="none" w:sz="0" w:space="0" w:color="auto"/>
        <w:left w:val="none" w:sz="0" w:space="0" w:color="auto"/>
        <w:bottom w:val="none" w:sz="0" w:space="0" w:color="auto"/>
        <w:right w:val="none" w:sz="0" w:space="0" w:color="auto"/>
      </w:divBdr>
    </w:div>
    <w:div w:id="1176993249">
      <w:bodyDiv w:val="1"/>
      <w:marLeft w:val="0"/>
      <w:marRight w:val="0"/>
      <w:marTop w:val="0"/>
      <w:marBottom w:val="0"/>
      <w:divBdr>
        <w:top w:val="none" w:sz="0" w:space="0" w:color="auto"/>
        <w:left w:val="none" w:sz="0" w:space="0" w:color="auto"/>
        <w:bottom w:val="none" w:sz="0" w:space="0" w:color="auto"/>
        <w:right w:val="none" w:sz="0" w:space="0" w:color="auto"/>
      </w:divBdr>
    </w:div>
    <w:div w:id="1211722639">
      <w:bodyDiv w:val="1"/>
      <w:marLeft w:val="0"/>
      <w:marRight w:val="0"/>
      <w:marTop w:val="0"/>
      <w:marBottom w:val="0"/>
      <w:divBdr>
        <w:top w:val="none" w:sz="0" w:space="0" w:color="auto"/>
        <w:left w:val="none" w:sz="0" w:space="0" w:color="auto"/>
        <w:bottom w:val="none" w:sz="0" w:space="0" w:color="auto"/>
        <w:right w:val="none" w:sz="0" w:space="0" w:color="auto"/>
      </w:divBdr>
    </w:div>
    <w:div w:id="1476026538">
      <w:bodyDiv w:val="1"/>
      <w:marLeft w:val="0"/>
      <w:marRight w:val="0"/>
      <w:marTop w:val="0"/>
      <w:marBottom w:val="0"/>
      <w:divBdr>
        <w:top w:val="none" w:sz="0" w:space="0" w:color="auto"/>
        <w:left w:val="none" w:sz="0" w:space="0" w:color="auto"/>
        <w:bottom w:val="none" w:sz="0" w:space="0" w:color="auto"/>
        <w:right w:val="none" w:sz="0" w:space="0" w:color="auto"/>
      </w:divBdr>
    </w:div>
    <w:div w:id="1670325977">
      <w:bodyDiv w:val="1"/>
      <w:marLeft w:val="0"/>
      <w:marRight w:val="0"/>
      <w:marTop w:val="0"/>
      <w:marBottom w:val="0"/>
      <w:divBdr>
        <w:top w:val="none" w:sz="0" w:space="0" w:color="auto"/>
        <w:left w:val="none" w:sz="0" w:space="0" w:color="auto"/>
        <w:bottom w:val="none" w:sz="0" w:space="0" w:color="auto"/>
        <w:right w:val="none" w:sz="0" w:space="0" w:color="auto"/>
      </w:divBdr>
    </w:div>
    <w:div w:id="18921086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atwickeb@si.edu" TargetMode="External"/><Relationship Id="rId13" Type="http://schemas.openxmlformats.org/officeDocument/2006/relationships/image" Target="media/image4.png"/><Relationship Id="rId18" Type="http://schemas.openxmlformats.org/officeDocument/2006/relationships/hyperlink" Target="https://github.com/ogosborne/A.glyphus_Bd_pre-exposure_RNAseq/"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hyperlink" Target="https://www.ncbi.nlm.nih.gov/bioproject/?term=PRJNA1302657" TargetMode="Externa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hyperlink" Target="https://github.com/AmphiBac/AmphiBac-Database" TargetMode="External"/><Relationship Id="rId19" Type="http://schemas.openxmlformats.org/officeDocument/2006/relationships/hyperlink" Target="https://github.com/amphibiarik/A.glyphus-Bd_exposure_16s-ITS_analyses"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340701-200B-2E49-ACFC-C36A90161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49</Pages>
  <Words>62015</Words>
  <Characters>353488</Characters>
  <Application>Microsoft Office Word</Application>
  <DocSecurity>0</DocSecurity>
  <Lines>2945</Lines>
  <Paragraphs>829</Paragraphs>
  <ScaleCrop>false</ScaleCrop>
  <Company/>
  <LinksUpToDate>false</LinksUpToDate>
  <CharactersWithSpaces>414674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Linhoff</dc:creator>
  <cp:keywords/>
  <dc:description/>
  <cp:lastModifiedBy>Muletz Wolz, Carly R. (Fed)</cp:lastModifiedBy>
  <cp:revision>20</cp:revision>
  <dcterms:created xsi:type="dcterms:W3CDTF">2026-07-13T19:28:00Z</dcterms:created>
  <dcterms:modified xsi:type="dcterms:W3CDTF">2026-10-22T15:56:00Z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id="jhYPt1yk"/&gt;&lt;style id="http://www.zotero.org/styles/vancouver" locale="en-US" hasBibliography="1" bibliographyStyleHasBeenSet="1"/&gt;&lt;prefs&gt;&lt;pref name="fieldType" value="Field"/&gt;&lt;/prefs&gt;&lt;/data&gt;</vt:lpwstr>
  </property>
</Properties>
</file>